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Grid>
        <w:gridCol w:w="9355"/>
      </w:tblGrid>
      <w:tblPr>
        <w:tblW w:type="auto" w:w="0"/>
        <w:jc w:val="left"/>
        <w:tblLook w:firstColumn="1" w:firstRow="1" w:lastColumn="0" w:lastRow="0" w:noHBand="0" w:noVBand="1" w:val="04A0"/>
      </w:tblPr>
      <w:tr>
        <w:tc>
          <w:tcPr>
            <w:tcW w:type="dxa" w:w="10080"/>
            <w:shd w:val="clear" w:color="auto" w:fill="0D2B4E"/>
            <w:tcBorders>
              <w:top w:val="none" w:sz="0" w:space="0" w:color="auto"/>
              <w:left w:val="none" w:sz="0" w:space="0" w:color="auto"/>
              <w:bottom w:val="none" w:sz="0" w:space="0" w:color="auto"/>
              <w:right w:val="none" w:sz="0" w:space="0" w:color="auto"/>
            </w:tcBorders>
            <w:tcW w:w="9355" w:type="dxa"/>
          </w:tcPr>
          <w:p>
            <w:pPr>
              <w:jc w:val="left"/>
              <w:spacing w:before="60" w:after="60"/>
            </w:pPr>
            <w:r>
              <w:rPr>
                <w:rFonts w:ascii="Calibri" w:hAnsi="Calibri"/>
                <w:b/>
                <w:color w:val="FFFFFF"/>
                <w:sz w:val="22"/>
              </w:rPr>
              <w:t>FaVeS Research  ·  EQUITY RESEARCH</w:t>
            </w:r>
          </w:p>
        </w:tc>
      </w:tr>
    </w:tbl>
    <w:p>
      <w:pPr>
        <w:spacing w:before="0" w:after="120"/>
      </w:pPr>
    </w:p>
    <w:p>
      <w:pPr>
        <w:spacing w:before="0" w:after="40"/>
      </w:pPr>
      <w:r>
        <w:rPr>
          <w:rFonts w:ascii="Calibri" w:hAnsi="Calibri"/>
          <w:b/>
          <w:color w:val="0D2B4E"/>
          <w:sz w:val="64"/>
        </w:rPr>
        <w:t>Apple Inc.</w:t>
      </w:r>
    </w:p>
    <w:p>
      <w:pPr>
        <w:spacing w:before="0" w:after="40"/>
      </w:pPr>
      <w:r>
        <w:rPr>
          <w:rFonts w:ascii="Calibri" w:hAnsi="Calibri"/>
          <w:color w:val="6C757D"/>
          <w:sz w:val="22"/>
        </w:rPr>
        <w:t>NASDAQ: AAPL  ·  Technology</w:t>
      </w:r>
    </w:p>
    <w:p>
      <w:pPr>
        <w:spacing w:before="0" w:after="120"/>
      </w:pPr>
      <w:r>
        <w:rPr>
          <w:rFonts w:ascii="Calibri" w:hAnsi="Calibri"/>
          <w:b/>
          <w:color w:val="C4973A"/>
          <w:sz w:val="20"/>
        </w:rPr>
        <w:t>INITIATION OF COVERAGE</w:t>
      </w:r>
    </w:p>
    <w:tbl>
      <w:tblGrid>
        <w:gridCol w:w="3118"/>
        <w:gridCol w:w="3118"/>
        <w:gridCol w:w="3118"/>
      </w:tblGrid>
      <w:tblPr>
        <w:tblW w:type="auto" w:w="0"/>
        <w:jc w:val="left"/>
        <w:tblLook w:firstColumn="1" w:firstRow="1" w:lastColumn="0" w:lastRow="0" w:noHBand="0" w:noVBand="1" w:val="04A0"/>
      </w:tblPr>
      <w:tr>
        <w:tc>
          <w:tcPr>
            <w:tcW w:type="dxa" w:w="3360"/>
            <w:shd w:val="clear" w:color="auto" w:fill="0D2B4E"/>
            <w:tcBorders>
              <w:top w:val="none" w:sz="0" w:space="0" w:color="auto"/>
              <w:left w:val="none" w:sz="0" w:space="0" w:color="auto"/>
              <w:bottom w:val="none" w:sz="0" w:space="0" w:color="auto"/>
              <w:right w:val="none" w:sz="0" w:space="0" w:color="auto"/>
            </w:tcBorders>
            <w:tcW w:w="3118" w:type="dxa"/>
          </w:tcPr>
          <w:p>
            <w:pPr>
              <w:jc w:val="center"/>
              <w:spacing w:before="40" w:after="40"/>
            </w:pPr>
            <w:r>
              <w:rPr>
                <w:rFonts w:ascii="Calibri" w:hAnsi="Calibri"/>
                <w:b/>
                <w:color w:val="FFFFFF"/>
                <w:sz w:val="18"/>
              </w:rPr>
              <w:t>VERDICT</w:t>
            </w:r>
          </w:p>
        </w:tc>
        <w:tc>
          <w:tcPr>
            <w:tcW w:type="dxa" w:w="3360"/>
            <w:shd w:val="clear" w:color="auto" w:fill="0D2B4E"/>
            <w:tcBorders>
              <w:top w:val="none" w:sz="0" w:space="0" w:color="auto"/>
              <w:left w:val="none" w:sz="0" w:space="0" w:color="auto"/>
              <w:bottom w:val="none" w:sz="0" w:space="0" w:color="auto"/>
              <w:right w:val="none" w:sz="0" w:space="0" w:color="auto"/>
            </w:tcBorders>
            <w:tcW w:w="3118" w:type="dxa"/>
          </w:tcPr>
          <w:p>
            <w:pPr>
              <w:jc w:val="center"/>
              <w:spacing w:before="40" w:after="40"/>
            </w:pPr>
            <w:r>
              <w:rPr>
                <w:rFonts w:ascii="Calibri" w:hAnsi="Calibri"/>
                <w:b/>
                <w:color w:val="FFFFFF"/>
                <w:sz w:val="18"/>
              </w:rPr>
              <w:t>PRICE TARGET</w:t>
            </w:r>
          </w:p>
        </w:tc>
        <w:tc>
          <w:tcPr>
            <w:tcW w:type="dxa" w:w="3360"/>
            <w:shd w:val="clear" w:color="auto" w:fill="0D2B4E"/>
            <w:tcBorders>
              <w:top w:val="none" w:sz="0" w:space="0" w:color="auto"/>
              <w:left w:val="none" w:sz="0" w:space="0" w:color="auto"/>
              <w:bottom w:val="none" w:sz="0" w:space="0" w:color="auto"/>
              <w:right w:val="none" w:sz="0" w:space="0" w:color="auto"/>
            </w:tcBorders>
            <w:tcW w:w="3118" w:type="dxa"/>
          </w:tcPr>
          <w:p>
            <w:pPr>
              <w:jc w:val="center"/>
              <w:spacing w:before="40" w:after="40"/>
            </w:pPr>
            <w:r>
              <w:rPr>
                <w:rFonts w:ascii="Calibri" w:hAnsi="Calibri"/>
                <w:b/>
                <w:color w:val="FFFFFF"/>
                <w:sz w:val="18"/>
              </w:rPr>
              <w:t>CURRENT PRICE</w:t>
            </w:r>
          </w:p>
        </w:tc>
      </w:tr>
      <w:tr>
        <w:tc>
          <w:tcPr>
            <w:tcW w:type="dxa" w:w="3360"/>
            <w:shd w:val="clear" w:color="auto" w:fill="F4F6F9"/>
            <w:tcBorders>
              <w:top w:val="none" w:sz="0" w:space="0" w:color="auto"/>
              <w:left w:val="none" w:sz="0" w:space="0" w:color="auto"/>
              <w:bottom w:val="none" w:sz="0" w:space="0" w:color="auto"/>
              <w:right w:val="none" w:sz="0" w:space="0" w:color="auto"/>
            </w:tcBorders>
            <w:tcW w:w="3118" w:type="dxa"/>
          </w:tcPr>
          <w:p>
            <w:pPr>
              <w:jc w:val="center"/>
              <w:spacing w:before="60" w:after="0"/>
            </w:pPr>
            <w:r>
              <w:rPr>
                <w:rFonts w:ascii="Calibri" w:hAnsi="Calibri"/>
                <w:b/>
                <w:color w:val="7D5A00"/>
                <w:sz w:val="44"/>
              </w:rPr>
              <w:t>HOLD  (+2% vs. base target)</w:t>
            </w:r>
          </w:p>
          <w:p>
            <w:pPr>
              <w:jc w:val="center"/>
              <w:spacing w:before="0" w:after="60"/>
            </w:pPr>
            <w:r>
              <w:rPr>
                <w:rFonts w:ascii="Calibri" w:hAnsi="Calibri"/>
                <w:color w:val="6C757D"/>
                <w:sz w:val="18"/>
              </w:rPr>
              <w:t>+2.3% upside</w:t>
            </w:r>
          </w:p>
        </w:tc>
        <w:tc>
          <w:tcPr>
            <w:tcW w:type="dxa" w:w="3360"/>
            <w:shd w:val="clear" w:color="auto" w:fill="F4F6F9"/>
            <w:tcBorders>
              <w:top w:val="none" w:sz="0" w:space="0" w:color="auto"/>
              <w:left w:val="none" w:sz="0" w:space="0" w:color="auto"/>
              <w:bottom w:val="none" w:sz="0" w:space="0" w:color="auto"/>
              <w:right w:val="none" w:sz="0" w:space="0" w:color="auto"/>
            </w:tcBorders>
            <w:tcW w:w="3118" w:type="dxa"/>
          </w:tcPr>
          <w:p>
            <w:pPr>
              <w:jc w:val="center"/>
              <w:spacing w:before="60" w:after="0"/>
            </w:pPr>
            <w:r>
              <w:rPr>
                <w:rFonts w:ascii="Calibri" w:hAnsi="Calibri"/>
                <w:b/>
                <w:color w:val="0D2B4E"/>
                <w:sz w:val="44"/>
              </w:rPr>
              <w:t>USD 217.98</w:t>
            </w:r>
          </w:p>
          <w:p>
            <w:pPr>
              <w:jc w:val="center"/>
              <w:spacing w:before="0" w:after="60"/>
            </w:pPr>
            <w:r>
              <w:rPr>
                <w:rFonts w:ascii="Calibri" w:hAnsi="Calibri"/>
                <w:color w:val="6C757D"/>
                <w:sz w:val="18"/>
              </w:rPr>
              <w:t>12-Month Target</w:t>
            </w:r>
          </w:p>
        </w:tc>
        <w:tc>
          <w:tcPr>
            <w:tcW w:type="dxa" w:w="3360"/>
            <w:shd w:val="clear" w:color="auto" w:fill="F4F6F9"/>
            <w:tcBorders>
              <w:top w:val="none" w:sz="0" w:space="0" w:color="auto"/>
              <w:left w:val="none" w:sz="0" w:space="0" w:color="auto"/>
              <w:bottom w:val="none" w:sz="0" w:space="0" w:color="auto"/>
              <w:right w:val="none" w:sz="0" w:space="0" w:color="auto"/>
            </w:tcBorders>
            <w:tcW w:w="3118" w:type="dxa"/>
          </w:tcPr>
          <w:p>
            <w:pPr>
              <w:jc w:val="center"/>
              <w:spacing w:before="60" w:after="0"/>
            </w:pPr>
            <w:r>
              <w:rPr>
                <w:rFonts w:ascii="Calibri" w:hAnsi="Calibri"/>
                <w:b/>
                <w:color w:val="2C3E50"/>
                <w:sz w:val="44"/>
              </w:rPr>
              <w:t>USD 213.00</w:t>
            </w:r>
          </w:p>
          <w:p>
            <w:pPr>
              <w:jc w:val="center"/>
              <w:spacing w:before="0" w:after="60"/>
            </w:pPr>
            <w:r>
              <w:rPr>
                <w:rFonts w:ascii="Calibri" w:hAnsi="Calibri"/>
                <w:color w:val="6C757D"/>
                <w:sz w:val="18"/>
              </w:rPr>
              <w:t>July 11, 2026</w:t>
            </w:r>
          </w:p>
        </w:tc>
      </w:tr>
    </w:tbl>
    <w:p>
      <w:pPr>
        <w:spacing w:before="0" w:after="120"/>
      </w:pPr>
    </w:p>
    <w:tbl>
      <w:tblGrid>
        <w:gridCol w:w="1871"/>
        <w:gridCol w:w="1871"/>
        <w:gridCol w:w="1871"/>
        <w:gridCol w:w="1871"/>
        <w:gridCol w:w="1871"/>
      </w:tblGrid>
      <w:tblPr>
        <w:tblW w:type="auto" w:w="0"/>
        <w:jc w:val="left"/>
        <w:tblLook w:firstColumn="1" w:firstRow="1" w:lastColumn="0" w:lastRow="0" w:noHBand="0" w:noVBand="1" w:val="04A0"/>
      </w:tblPr>
      <w:tr>
        <w:tc>
          <w:tcPr>
            <w:tcW w:type="dxa" w:w="2016"/>
            <w:shd w:val="clear" w:color="auto" w:fill="D5E1ED"/>
            <w:tcBorders>
              <w:top w:val="single" w:sz="4" w:space="0" w:color="D5E1ED"/>
              <w:left w:val="single" w:sz="4" w:space="0" w:color="D5E1ED"/>
              <w:bottom w:val="single" w:sz="4" w:space="0" w:color="D5E1ED"/>
              <w:right w:val="single" w:sz="4" w:space="0" w:color="D5E1ED"/>
            </w:tcBorders>
            <w:tcW w:w="1871" w:type="dxa"/>
          </w:tcPr>
          <w:p>
            <w:pPr>
              <w:jc w:val="center"/>
              <w:spacing w:before="40" w:after="40"/>
            </w:pPr>
            <w:r>
              <w:rPr>
                <w:rFonts w:ascii="Calibri" w:hAnsi="Calibri"/>
                <w:b/>
                <w:color w:val="0D2B4E"/>
                <w:sz w:val="16"/>
              </w:rPr>
              <w:t>Market Cap</w:t>
            </w:r>
          </w:p>
        </w:tc>
        <w:tc>
          <w:tcPr>
            <w:tcW w:type="dxa" w:w="2016"/>
            <w:shd w:val="clear" w:color="auto" w:fill="D5E1ED"/>
            <w:tcBorders>
              <w:top w:val="single" w:sz="4" w:space="0" w:color="D5E1ED"/>
              <w:left w:val="single" w:sz="4" w:space="0" w:color="D5E1ED"/>
              <w:bottom w:val="single" w:sz="4" w:space="0" w:color="D5E1ED"/>
              <w:right w:val="single" w:sz="4" w:space="0" w:color="D5E1ED"/>
            </w:tcBorders>
            <w:tcW w:w="1871" w:type="dxa"/>
          </w:tcPr>
          <w:p>
            <w:pPr>
              <w:jc w:val="center"/>
              <w:spacing w:before="40" w:after="40"/>
            </w:pPr>
            <w:r>
              <w:rPr>
                <w:rFonts w:ascii="Calibri" w:hAnsi="Calibri"/>
                <w:b/>
                <w:color w:val="0D2B4E"/>
                <w:sz w:val="16"/>
              </w:rPr>
              <w:t>Revenue</w:t>
            </w:r>
          </w:p>
        </w:tc>
        <w:tc>
          <w:tcPr>
            <w:tcW w:type="dxa" w:w="2016"/>
            <w:shd w:val="clear" w:color="auto" w:fill="D5E1ED"/>
            <w:tcBorders>
              <w:top w:val="single" w:sz="4" w:space="0" w:color="D5E1ED"/>
              <w:left w:val="single" w:sz="4" w:space="0" w:color="D5E1ED"/>
              <w:bottom w:val="single" w:sz="4" w:space="0" w:color="D5E1ED"/>
              <w:right w:val="single" w:sz="4" w:space="0" w:color="D5E1ED"/>
            </w:tcBorders>
            <w:tcW w:w="1871" w:type="dxa"/>
          </w:tcPr>
          <w:p>
            <w:pPr>
              <w:jc w:val="center"/>
              <w:spacing w:before="40" w:after="40"/>
            </w:pPr>
            <w:r>
              <w:rPr>
                <w:rFonts w:ascii="Calibri" w:hAnsi="Calibri"/>
                <w:b/>
                <w:color w:val="0D2B4E"/>
                <w:sz w:val="16"/>
              </w:rPr>
              <w:t>FCF</w:t>
            </w:r>
          </w:p>
        </w:tc>
        <w:tc>
          <w:tcPr>
            <w:tcW w:type="dxa" w:w="2016"/>
            <w:shd w:val="clear" w:color="auto" w:fill="D5E1ED"/>
            <w:tcBorders>
              <w:top w:val="single" w:sz="4" w:space="0" w:color="D5E1ED"/>
              <w:left w:val="single" w:sz="4" w:space="0" w:color="D5E1ED"/>
              <w:bottom w:val="single" w:sz="4" w:space="0" w:color="D5E1ED"/>
              <w:right w:val="single" w:sz="4" w:space="0" w:color="D5E1ED"/>
            </w:tcBorders>
            <w:tcW w:w="1871" w:type="dxa"/>
          </w:tcPr>
          <w:p>
            <w:pPr>
              <w:jc w:val="center"/>
              <w:spacing w:before="40" w:after="40"/>
            </w:pPr>
            <w:r>
              <w:rPr>
                <w:rFonts w:ascii="Calibri" w:hAnsi="Calibri"/>
                <w:b/>
                <w:color w:val="0D2B4E"/>
                <w:sz w:val="16"/>
              </w:rPr>
              <w:t>WACC</w:t>
            </w:r>
          </w:p>
        </w:tc>
        <w:tc>
          <w:tcPr>
            <w:tcW w:type="dxa" w:w="2016"/>
            <w:shd w:val="clear" w:color="auto" w:fill="D5E1ED"/>
            <w:tcBorders>
              <w:top w:val="single" w:sz="4" w:space="0" w:color="D5E1ED"/>
              <w:left w:val="single" w:sz="4" w:space="0" w:color="D5E1ED"/>
              <w:bottom w:val="single" w:sz="4" w:space="0" w:color="D5E1ED"/>
              <w:right w:val="single" w:sz="4" w:space="0" w:color="D5E1ED"/>
            </w:tcBorders>
            <w:tcW w:w="1871" w:type="dxa"/>
          </w:tcPr>
          <w:p>
            <w:pPr>
              <w:jc w:val="center"/>
              <w:spacing w:before="40" w:after="40"/>
            </w:pPr>
            <w:r>
              <w:rPr>
                <w:rFonts w:ascii="Calibri" w:hAnsi="Calibri"/>
                <w:b/>
                <w:color w:val="0D2B4E"/>
                <w:sz w:val="16"/>
              </w:rPr>
              <w:t>EV/EBITDA</w:t>
            </w:r>
          </w:p>
        </w:tc>
      </w:tr>
      <w:tr>
        <w:tc>
          <w:tcPr>
            <w:tcW w:type="dxa" w:w="2016"/>
            <w:shd w:val="clear" w:color="auto" w:fill="FFFFFF"/>
            <w:tcBorders>
              <w:top w:val="single" w:sz="4" w:space="0" w:color="CCCCCC"/>
              <w:left w:val="single" w:sz="4" w:space="0" w:color="CCCCCC"/>
              <w:bottom w:val="single" w:sz="4" w:space="0" w:color="CCCCCC"/>
              <w:right w:val="single" w:sz="4" w:space="0" w:color="CCCCCC"/>
            </w:tcBorders>
            <w:tcW w:w="1871" w:type="dxa"/>
          </w:tcPr>
          <w:p>
            <w:pPr>
              <w:jc w:val="center"/>
              <w:spacing w:before="40" w:after="40"/>
            </w:pPr>
            <w:r>
              <w:rPr>
                <w:rFonts w:ascii="Calibri" w:hAnsi="Calibri"/>
                <w:b/>
                <w:color w:val="0D2B4E"/>
                <w:sz w:val="24"/>
              </w:rPr>
              <w:t>$3.24T</w:t>
            </w:r>
          </w:p>
        </w:tc>
        <w:tc>
          <w:tcPr>
            <w:tcW w:type="dxa" w:w="2016"/>
            <w:shd w:val="clear" w:color="auto" w:fill="FFFFFF"/>
            <w:tcBorders>
              <w:top w:val="single" w:sz="4" w:space="0" w:color="CCCCCC"/>
              <w:left w:val="single" w:sz="4" w:space="0" w:color="CCCCCC"/>
              <w:bottom w:val="single" w:sz="4" w:space="0" w:color="CCCCCC"/>
              <w:right w:val="single" w:sz="4" w:space="0" w:color="CCCCCC"/>
            </w:tcBorders>
            <w:tcW w:w="1871" w:type="dxa"/>
          </w:tcPr>
          <w:p>
            <w:pPr>
              <w:jc w:val="center"/>
              <w:spacing w:before="40" w:after="40"/>
            </w:pPr>
            <w:r>
              <w:rPr>
                <w:rFonts w:ascii="Calibri" w:hAnsi="Calibri"/>
                <w:b/>
                <w:color w:val="0D2B4E"/>
                <w:sz w:val="24"/>
              </w:rPr>
              <w:t>$416.2B</w:t>
            </w:r>
          </w:p>
        </w:tc>
        <w:tc>
          <w:tcPr>
            <w:tcW w:type="dxa" w:w="2016"/>
            <w:shd w:val="clear" w:color="auto" w:fill="FFFFFF"/>
            <w:tcBorders>
              <w:top w:val="single" w:sz="4" w:space="0" w:color="CCCCCC"/>
              <w:left w:val="single" w:sz="4" w:space="0" w:color="CCCCCC"/>
              <w:bottom w:val="single" w:sz="4" w:space="0" w:color="CCCCCC"/>
              <w:right w:val="single" w:sz="4" w:space="0" w:color="CCCCCC"/>
            </w:tcBorders>
            <w:tcW w:w="1871" w:type="dxa"/>
          </w:tcPr>
          <w:p>
            <w:pPr>
              <w:jc w:val="center"/>
              <w:spacing w:before="40" w:after="40"/>
            </w:pPr>
            <w:r>
              <w:rPr>
                <w:rFonts w:ascii="Calibri" w:hAnsi="Calibri"/>
                <w:b/>
                <w:color w:val="0D2B4E"/>
                <w:sz w:val="24"/>
              </w:rPr>
              <w:t>$98.8B</w:t>
            </w:r>
          </w:p>
        </w:tc>
        <w:tc>
          <w:tcPr>
            <w:tcW w:type="dxa" w:w="2016"/>
            <w:shd w:val="clear" w:color="auto" w:fill="FFFFFF"/>
            <w:tcBorders>
              <w:top w:val="single" w:sz="4" w:space="0" w:color="CCCCCC"/>
              <w:left w:val="single" w:sz="4" w:space="0" w:color="CCCCCC"/>
              <w:bottom w:val="single" w:sz="4" w:space="0" w:color="CCCCCC"/>
              <w:right w:val="single" w:sz="4" w:space="0" w:color="CCCCCC"/>
            </w:tcBorders>
            <w:tcW w:w="1871" w:type="dxa"/>
          </w:tcPr>
          <w:p>
            <w:pPr>
              <w:jc w:val="center"/>
              <w:spacing w:before="40" w:after="40"/>
            </w:pPr>
            <w:r>
              <w:rPr>
                <w:rFonts w:ascii="Calibri" w:hAnsi="Calibri"/>
                <w:b/>
                <w:color w:val="0D2B4E"/>
                <w:sz w:val="24"/>
              </w:rPr>
              <w:t>8.20%</w:t>
            </w:r>
          </w:p>
        </w:tc>
        <w:tc>
          <w:tcPr>
            <w:tcW w:type="dxa" w:w="2016"/>
            <w:shd w:val="clear" w:color="auto" w:fill="FFFFFF"/>
            <w:tcBorders>
              <w:top w:val="single" w:sz="4" w:space="0" w:color="CCCCCC"/>
              <w:left w:val="single" w:sz="4" w:space="0" w:color="CCCCCC"/>
              <w:bottom w:val="single" w:sz="4" w:space="0" w:color="CCCCCC"/>
              <w:right w:val="single" w:sz="4" w:space="0" w:color="CCCCCC"/>
            </w:tcBorders>
            <w:tcW w:w="1871" w:type="dxa"/>
          </w:tcPr>
          <w:p>
            <w:pPr>
              <w:jc w:val="center"/>
              <w:spacing w:before="40" w:after="40"/>
            </w:pPr>
            <w:r>
              <w:rPr>
                <w:rFonts w:ascii="Calibri" w:hAnsi="Calibri"/>
                <w:b/>
                <w:color w:val="0D2B4E"/>
                <w:sz w:val="24"/>
              </w:rPr>
              <w:t>26.4x</w:t>
            </w:r>
          </w:p>
        </w:tc>
      </w:tr>
    </w:tbl>
    <w:p>
      <w:pPr>
        <w:spacing w:before="0" w:after="120"/>
      </w:pPr>
    </w:p>
    <w:tbl>
      <w:tblGrid>
        <w:gridCol w:w="9355"/>
      </w:tblGrid>
      <w:tblPr>
        <w:tblW w:type="auto" w:w="0"/>
        <w:jc w:val="left"/>
        <w:tblLook w:firstColumn="1" w:firstRow="1" w:lastColumn="0" w:lastRow="0" w:noHBand="0" w:noVBand="1" w:val="04A0"/>
      </w:tblPr>
      <w:tr>
        <w:tc>
          <w:tcPr>
            <w:tcW w:type="dxa" w:w="10080"/>
            <w:shd w:val="clear" w:color="auto" w:fill="F4F6F9"/>
            <w:tcBorders>
              <w:top w:val="single" w:sz="6" w:space="0" w:color="D5E1ED"/>
              <w:left w:val="single" w:sz="6" w:space="0" w:color="D5E1ED"/>
              <w:bottom w:val="single" w:sz="6" w:space="0" w:color="D5E1ED"/>
              <w:right w:val="single" w:sz="6" w:space="0" w:color="D5E1ED"/>
            </w:tcBorders>
            <w:tcW w:w="9355" w:type="dxa"/>
          </w:tcPr>
          <w:p>
            <w:pPr>
              <w:spacing w:before="60" w:after="40"/>
            </w:pPr>
            <w:r>
              <w:rPr>
                <w:rFonts w:ascii="Calibri" w:hAnsi="Calibri"/>
                <w:b/>
                <w:color w:val="C4973A"/>
                <w:sz w:val="20"/>
              </w:rPr>
              <w:t>Investment Thesis</w:t>
            </w:r>
          </w:p>
          <w:p>
            <w:pPr>
              <w:spacing w:before="0" w:after="60"/>
            </w:pPr>
            <w:r>
              <w:rPr>
                <w:rFonts w:ascii="Calibri" w:hAnsi="Calibri"/>
                <w:color w:val="2C3E50"/>
                <w:sz w:val="18"/>
              </w:rPr>
            </w:r>
          </w:p>
        </w:tc>
      </w:tr>
    </w:tbl>
    <w:p>
      <w:pPr>
        <w:spacing w:before="0" w:after="200"/>
      </w:pPr>
    </w:p>
    <w:tbl>
      <w:tblGrid>
        <w:gridCol w:w="6237"/>
        <w:gridCol w:w="3118"/>
      </w:tblGrid>
      <w:tblPr>
        <w:tblW w:type="auto" w:w="0"/>
        <w:tblLook w:firstColumn="1" w:firstRow="1" w:lastColumn="0" w:lastRow="0" w:noHBand="0" w:noVBand="1" w:val="04A0"/>
      </w:tblPr>
      <w:tr>
        <w:tc>
          <w:tcPr>
            <w:tcW w:type="dxa" w:w="5040"/>
            <w:shd w:val="clear" w:color="auto" w:fill="0D2B4E"/>
            <w:tcBorders>
              <w:top w:val="none" w:sz="0" w:space="0" w:color="auto"/>
              <w:left w:val="none" w:sz="0" w:space="0" w:color="auto"/>
              <w:bottom w:val="none" w:sz="0" w:space="0" w:color="auto"/>
              <w:right w:val="none" w:sz="0" w:space="0" w:color="auto"/>
            </w:tcBorders>
            <w:tcW w:w="6237" w:type="dxa"/>
          </w:tcPr>
          <w:p>
            <w:pPr>
              <w:spacing w:before="40" w:after="40"/>
            </w:pPr>
            <w:r>
              <w:rPr>
                <w:rFonts w:ascii="Calibri" w:hAnsi="Calibri"/>
                <w:color w:val="FFFFFF"/>
                <w:sz w:val="16"/>
              </w:rPr>
              <w:t>FaVeS Research  ·  Equity Research</w:t>
            </w:r>
          </w:p>
        </w:tc>
        <w:tc>
          <w:tcPr>
            <w:tcW w:type="dxa" w:w="5040"/>
            <w:shd w:val="clear" w:color="auto" w:fill="0D2B4E"/>
            <w:tcBorders>
              <w:top w:val="none" w:sz="0" w:space="0" w:color="auto"/>
              <w:left w:val="none" w:sz="0" w:space="0" w:color="auto"/>
              <w:bottom w:val="none" w:sz="0" w:space="0" w:color="auto"/>
              <w:right w:val="none" w:sz="0" w:space="0" w:color="auto"/>
            </w:tcBorders>
            <w:tcW w:w="3118" w:type="dxa"/>
          </w:tcPr>
          <w:p>
            <w:pPr>
              <w:jc w:val="right"/>
              <w:spacing w:before="40" w:after="40"/>
            </w:pPr>
            <w:r>
              <w:rPr>
                <w:rFonts w:ascii="Calibri" w:hAnsi="Calibri"/>
                <w:color w:val="FFFFFF"/>
                <w:sz w:val="16"/>
              </w:rPr>
              <w:t>July 11, 2026</w:t>
            </w:r>
          </w:p>
        </w:tc>
      </w:tr>
    </w:tbl>
    <w:p>
      <w:r>
        <w:br w:type="page"/>
      </w:r>
    </w:p>
    <w:p>
      <w:pPr>
        <w:pStyle w:val="Heading1"/>
        <w:jc w:val="left"/>
        <w:pBdr>
          <w:bottom w:val="single" w:sz="12" w:space="1" w:color="C4973A"/>
        </w:pBdr>
        <w:spacing w:before="160" w:after="80"/>
      </w:pPr>
      <w:r>
        <w:rPr>
          <w:rFonts w:ascii="Calibri" w:hAnsi="Calibri"/>
          <w:b/>
          <w:color w:val="0D2B4E"/>
          <w:sz w:val="32"/>
        </w:rPr>
        <w:t>Executive Summary</w:t>
      </w:r>
    </w:p>
    <w:tbl>
      <w:tblGrid>
        <w:gridCol w:w="1984"/>
        <w:gridCol w:w="7371"/>
      </w:tblGrid>
      <w:tblPr>
        <w:tblW w:type="auto" w:w="0"/>
        <w:jc w:val="left"/>
        <w:tblLook w:firstColumn="1" w:firstRow="1" w:lastColumn="0" w:lastRow="0" w:noHBand="0" w:noVBand="1" w:val="04A0"/>
      </w:tblPr>
      <w:tr>
        <w:tc>
          <w:tcPr>
            <w:tcW w:type="dxa" w:w="5040"/>
            <w:shd w:val="clear" w:color="auto" w:fill="F4F6F9"/>
            <w:tcBorders>
              <w:top w:val="single" w:sz="12" w:color="C4973A"/>
              <w:left w:val="single" w:sz="12" w:color="C4973A"/>
              <w:bottom w:val="single" w:sz="12" w:color="C4973A"/>
              <w:right w:val="none"/>
            </w:tcBorders>
            <w:tcW w:w="1984" w:type="dxa"/>
          </w:tcPr>
          <w:p>
            <w:pPr>
              <w:jc w:val="center"/>
              <w:spacing w:before="80" w:after="20"/>
            </w:pPr>
            <w:r>
              <w:rPr>
                <w:rFonts w:ascii="Calibri" w:hAnsi="Calibri"/>
                <w:b/>
                <w:color w:val="7D5A00"/>
                <w:sz w:val="56"/>
              </w:rPr>
              <w:t>HOLD  (+2% vs. base target)</w:t>
            </w:r>
          </w:p>
          <w:p>
            <w:pPr>
              <w:jc w:val="center"/>
              <w:spacing w:before="0" w:after="20"/>
            </w:pPr>
            <w:r>
              <w:rPr>
                <w:rFonts w:ascii="Calibri" w:hAnsi="Calibri"/>
                <w:b/>
                <w:color w:val="0D2B4E"/>
                <w:sz w:val="28"/>
              </w:rPr>
              <w:t>USD 217.98</w:t>
            </w:r>
          </w:p>
          <w:p>
            <w:pPr>
              <w:jc w:val="center"/>
              <w:spacing w:before="0" w:after="80"/>
            </w:pPr>
            <w:r>
              <w:rPr>
                <w:rFonts w:ascii="Calibri" w:hAnsi="Calibri"/>
                <w:color w:val="7D5A00"/>
                <w:sz w:val="18"/>
              </w:rPr>
              <w:t>+2.3% upside</w:t>
            </w:r>
          </w:p>
        </w:tc>
        <w:tc>
          <w:tcPr>
            <w:tcW w:type="dxa" w:w="5040"/>
            <w:shd w:val="clear" w:color="auto" w:fill="FFFFFF"/>
            <w:tcBorders>
              <w:top w:val="single" w:sz="12" w:color="C4973A"/>
              <w:right w:val="single" w:sz="12" w:color="C4973A"/>
              <w:bottom w:val="single" w:sz="12" w:color="C4973A"/>
              <w:left w:val="none"/>
            </w:tcBorders>
            <w:tcW w:w="7371" w:type="dxa"/>
          </w:tcPr>
          <w:p>
            <w:pPr>
              <w:spacing w:before="60" w:after="60"/>
            </w:pPr>
            <w:r>
              <w:rPr>
                <w:rFonts w:ascii="Calibri" w:hAnsi="Calibri"/>
                <w:b/>
                <w:color w:val="0D2B4E"/>
                <w:sz w:val="22"/>
              </w:rPr>
              <w:t>Key Investment Points</w:t>
            </w:r>
          </w:p>
          <w:p>
            <w:pPr>
              <w:spacing w:before="0" w:after="60" w:line="276" w:lineRule="auto"/>
            </w:pPr>
            <w:r>
              <w:rPr>
                <w:rFonts w:ascii="Calibri" w:hAnsi="Calibri"/>
                <w:color w:val="2C3E50"/>
                <w:sz w:val="18"/>
              </w:rPr>
              <w:t>▪  Services segment ($96.2B, +13% YoY) approaching 25% of revenue at 74% gross margin — the primary value driver.</w:t>
            </w:r>
          </w:p>
          <w:p>
            <w:pPr>
              <w:spacing w:before="0" w:after="60" w:line="276" w:lineRule="auto"/>
            </w:pPr>
            <w:r>
              <w:rPr>
                <w:rFonts w:ascii="Calibri" w:hAnsi="Calibri"/>
                <w:color w:val="2C3E50"/>
                <w:sz w:val="18"/>
              </w:rPr>
              <w:t>▪  Apple Intelligence positions AAPL for the AI upgrade supercycle; iPhone 17 catalyst in Sep 2025 is the next near-term trigger.</w:t>
            </w:r>
          </w:p>
          <w:p>
            <w:pPr>
              <w:spacing w:before="0" w:after="60" w:line="276" w:lineRule="auto"/>
            </w:pPr>
            <w:r>
              <w:rPr>
                <w:rFonts w:ascii="Calibri" w:hAnsi="Calibri"/>
                <w:color w:val="2C3E50"/>
                <w:sz w:val="18"/>
              </w:rPr>
              <w:t>▪  China revenue concentration (18%) and EU DMA regulatory risk are the key overhangs limiting further upside.</w:t>
            </w:r>
          </w:p>
          <w:p>
            <w:pPr>
              <w:spacing w:before="0" w:after="60" w:line="276" w:lineRule="auto"/>
            </w:pPr>
            <w:r>
              <w:rPr>
                <w:rFonts w:ascii="Calibri" w:hAnsi="Calibri"/>
                <w:color w:val="2C3E50"/>
                <w:sz w:val="18"/>
              </w:rPr>
              <w:t>▪  Blended DCF + comps target of USD 217.98 offers only +2.3% upside — fair value, not cheap.</w:t>
            </w:r>
          </w:p>
        </w:tc>
      </w:tr>
    </w:tbl>
    <w:p>
      <w:pPr>
        <w:spacing w:before="0" w:after="80"/>
      </w:pPr>
    </w:p>
    <w:p>
      <w:pPr>
        <w:pStyle w:val="Heading2"/>
        <w:jc w:val="left"/>
        <w:spacing w:before="120" w:after="60"/>
      </w:pPr>
      <w:r>
        <w:rPr>
          <w:rFonts w:ascii="Calibri" w:hAnsi="Calibri"/>
          <w:b/>
          <w:color w:val="1A5276"/>
          <w:sz w:val="26"/>
        </w:rPr>
        <w:t>Company Snapshot</w:t>
      </w:r>
    </w:p>
    <w:tbl>
      <w:tblGrid>
        <w:gridCol w:w="2551"/>
        <w:gridCol w:w="2126"/>
        <w:gridCol w:w="2551"/>
        <w:gridCol w:w="2126"/>
      </w:tblGrid>
      <w:tblPr>
        <w:tblStyle w:val="TableGrid"/>
        <w:tblW w:type="auto" w:w="0"/>
        <w:jc w:val="left"/>
        <w:tblLook w:firstColumn="1" w:firstRow="1" w:lastColumn="0" w:lastRow="0" w:noHBand="0" w:noVBand="1" w:val="04A0"/>
      </w:tblPr>
      <w:tr>
        <w:tc>
          <w:tcPr>
            <w:tcW w:type="dxa" w:w="2520"/>
            <w:shd w:val="clear" w:color="auto" w:fill="0D2B4E"/>
            <w:tcBorders>
              <w:top w:val="single" w:sz="4" w:space="0" w:color="0D2B4E"/>
              <w:left w:val="single" w:sz="4" w:space="0" w:color="0D2B4E"/>
              <w:bottom w:val="single" w:sz="4" w:space="0" w:color="0D2B4E"/>
              <w:right w:val="single" w:sz="4" w:space="0" w:color="0D2B4E"/>
            </w:tcBorders>
            <w:tcW w:w="2551" w:type="dxa"/>
            <w:vAlign w:val="center"/>
          </w:tcPr>
          <w:p>
            <w:pPr>
              <w:jc w:val="left"/>
              <w:spacing w:before="40" w:after="40"/>
            </w:pPr>
            <w:r/>
            <w:r>
              <w:rPr>
                <w:rFonts w:ascii="Calibri" w:hAnsi="Calibri"/>
                <w:b/>
                <w:color w:val="FFFFFF"/>
                <w:sz w:val="18"/>
              </w:rPr>
              <w:t>Metric</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2126" w:type="dxa"/>
            <w:vAlign w:val="center"/>
          </w:tcPr>
          <w:p>
            <w:pPr>
              <w:jc w:val="left"/>
              <w:spacing w:before="40" w:after="40"/>
            </w:pPr>
            <w:r/>
            <w:r>
              <w:rPr>
                <w:rFonts w:ascii="Calibri" w:hAnsi="Calibri"/>
                <w:b/>
                <w:color w:val="FFFFFF"/>
                <w:sz w:val="18"/>
              </w:rPr>
              <w:t>Value</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2551" w:type="dxa"/>
            <w:vAlign w:val="center"/>
          </w:tcPr>
          <w:p>
            <w:pPr>
              <w:jc w:val="left"/>
              <w:spacing w:before="40" w:after="40"/>
            </w:pPr>
            <w:r/>
            <w:r>
              <w:rPr>
                <w:rFonts w:ascii="Calibri" w:hAnsi="Calibri"/>
                <w:b/>
                <w:color w:val="FFFFFF"/>
                <w:sz w:val="18"/>
              </w:rPr>
              <w:t>Metric</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2126" w:type="dxa"/>
            <w:vAlign w:val="center"/>
          </w:tcPr>
          <w:p>
            <w:pPr>
              <w:jc w:val="left"/>
              <w:spacing w:before="40" w:after="40"/>
            </w:pPr>
            <w:r/>
            <w:r>
              <w:rPr>
                <w:rFonts w:ascii="Calibri" w:hAnsi="Calibri"/>
                <w:b/>
                <w:color w:val="FFFFFF"/>
                <w:sz w:val="18"/>
              </w:rPr>
              <w:t>Value</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Ticker</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AAPL</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Sector</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Technology</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Current Price</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USD 213.00</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Market Cap</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$3.24T</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Price Target</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USD 217.98</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Enterprise Value</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$3.28T</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Rating</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HOLD  (+2% vs. base target)</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Shares Outstanding</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14.8B</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Revenue (FY24)</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$416.2B</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Net Income (FY24)</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$112.0B</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FCF (FY24)</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$98.8B</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FCF Margin</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23.7%</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WACC</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8.20%</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Terminal Growth</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3.00%</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Beta</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1.24</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Dividend Yield</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0.47%</w:t>
            </w:r>
          </w:p>
        </w:tc>
      </w:tr>
    </w:tbl>
    <w:p>
      <w:pPr>
        <w:spacing w:before="0" w:after="80"/>
      </w:pPr>
    </w:p>
    <w:p>
      <w:pPr>
        <w:pStyle w:val="Heading2"/>
        <w:jc w:val="left"/>
        <w:spacing w:before="120" w:after="60"/>
      </w:pPr>
      <w:r>
        <w:rPr>
          <w:rFonts w:ascii="Calibri" w:hAnsi="Calibri"/>
          <w:b/>
          <w:color w:val="1A5276"/>
          <w:sz w:val="26"/>
        </w:rPr>
        <w:t>Consensus vs. FaVeS Model</w:t>
      </w:r>
    </w:p>
    <w:p>
      <w:r>
        <w:br w:type="page"/>
      </w:r>
    </w:p>
    <w:p>
      <w:r>
        <w:br w:type="page"/>
      </w:r>
    </w:p>
    <w:p>
      <w:pPr>
        <w:pStyle w:val="Heading1"/>
        <w:jc w:val="left"/>
        <w:pBdr>
          <w:bottom w:val="single" w:sz="12" w:space="1" w:color="C4973A"/>
        </w:pBdr>
        <w:spacing w:before="160" w:after="80"/>
      </w:pPr>
      <w:r>
        <w:rPr>
          <w:rFonts w:ascii="Calibri" w:hAnsi="Calibri"/>
          <w:b/>
          <w:color w:val="0D2B4E"/>
          <w:sz w:val="32"/>
        </w:rPr>
        <w:t>Business Overview</w:t>
      </w:r>
    </w:p>
    <w:p>
      <w:pPr>
        <w:jc w:val="left"/>
        <w:spacing w:before="20" w:after="60" w:line="276" w:lineRule="auto"/>
      </w:pPr>
      <w:r>
        <w:rPr>
          <w:rFonts w:ascii="Calibri" w:hAnsi="Calibri"/>
          <w:i w:val="0"/>
          <w:color w:val="1A1A2E"/>
          <w:sz w:val="20"/>
        </w:rPr>
        <w:t>Consumer electronics, software, and services ecosystem Apple is the world's largest company by market capitalization and generated $416B in revenue in FY2024, serving customers across 175+ countries through retail stores, online, and third-party channels.</w:t>
      </w:r>
    </w:p>
    <w:p>
      <w:pPr>
        <w:spacing w:before="0" w:after="60"/>
      </w:pPr>
    </w:p>
    <w:p>
      <w:pPr>
        <w:pStyle w:val="Heading2"/>
        <w:jc w:val="left"/>
        <w:spacing w:before="120" w:after="60"/>
      </w:pPr>
      <w:r>
        <w:rPr>
          <w:rFonts w:ascii="Calibri" w:hAnsi="Calibri"/>
          <w:b/>
          <w:color w:val="1A5276"/>
          <w:sz w:val="26"/>
        </w:rPr>
        <w:t>Revenue Segments (FY2024)</w:t>
      </w:r>
    </w:p>
    <w:p>
      <w:pPr>
        <w:spacing w:before="0" w:after="80"/>
      </w:pPr>
    </w:p>
    <w:p>
      <w:pPr>
        <w:pStyle w:val="Heading2"/>
        <w:jc w:val="left"/>
        <w:spacing w:before="120" w:after="60"/>
      </w:pPr>
      <w:r>
        <w:rPr>
          <w:rFonts w:ascii="Calibri" w:hAnsi="Calibri"/>
          <w:b/>
          <w:color w:val="1A5276"/>
          <w:sz w:val="26"/>
        </w:rPr>
        <w:t>Competitive Moat</w:t>
      </w:r>
    </w:p>
    <w:p>
      <w:pPr>
        <w:jc w:val="left"/>
        <w:spacing w:before="20" w:after="60" w:line="276" w:lineRule="auto"/>
      </w:pPr>
      <w:r>
        <w:rPr>
          <w:rFonts w:ascii="Calibri" w:hAnsi="Calibri"/>
          <w:i w:val="0"/>
          <w:color w:val="1A1A2E"/>
          <w:sz w:val="20"/>
        </w:rPr>
        <w:t>Apple's durable competitive advantages span brand equity, ecosystem lock-in, and hardware-software integration. The following moat factors are assessed on a 0–100 scale with AI impact direction noted.</w:t>
      </w:r>
    </w:p>
    <w:p>
      <w:r>
        <w:br w:type="page"/>
      </w:r>
    </w:p>
    <w:p>
      <w:r>
        <w:br w:type="page"/>
      </w:r>
    </w:p>
    <w:p>
      <w:pPr>
        <w:pStyle w:val="Heading1"/>
        <w:jc w:val="left"/>
        <w:pBdr>
          <w:bottom w:val="single" w:sz="12" w:space="1" w:color="C4973A"/>
        </w:pBdr>
        <w:spacing w:before="160" w:after="80"/>
      </w:pPr>
      <w:r>
        <w:rPr>
          <w:rFonts w:ascii="Calibri" w:hAnsi="Calibri"/>
          <w:b/>
          <w:color w:val="0D2B4E"/>
          <w:sz w:val="32"/>
        </w:rPr>
        <w:t>Financial Analysis</w:t>
      </w:r>
    </w:p>
    <w:p>
      <w:pPr>
        <w:pStyle w:val="Heading2"/>
        <w:jc w:val="left"/>
        <w:spacing w:before="120" w:after="60"/>
      </w:pPr>
      <w:r>
        <w:rPr>
          <w:rFonts w:ascii="Calibri" w:hAnsi="Calibri"/>
          <w:b/>
          <w:color w:val="1A5276"/>
          <w:sz w:val="26"/>
        </w:rPr>
        <w:t>Income Statement Summary (FY2020–FY2024)</w:t>
      </w:r>
    </w:p>
    <w:tbl>
      <w:tblGrid>
        <w:gridCol w:w="1984"/>
        <w:gridCol w:w="1474"/>
        <w:gridCol w:w="1474"/>
        <w:gridCol w:w="1474"/>
        <w:gridCol w:w="1474"/>
        <w:gridCol w:w="1474"/>
      </w:tblGrid>
      <w:tblPr>
        <w:tblStyle w:val="TableGrid"/>
        <w:tblW w:type="auto" w:w="0"/>
        <w:jc w:val="left"/>
        <w:tblLook w:firstColumn="1" w:firstRow="1" w:lastColumn="0" w:lastRow="0" w:noHBand="0" w:noVBand="1" w:val="04A0"/>
      </w:tblPr>
      <w:tr>
        <w:tc>
          <w:tcPr>
            <w:tcW w:type="dxa" w:w="1680"/>
            <w:shd w:val="clear" w:color="auto" w:fill="0D2B4E"/>
            <w:tcBorders>
              <w:top w:val="single" w:sz="4" w:space="0" w:color="0D2B4E"/>
              <w:left w:val="single" w:sz="4" w:space="0" w:color="0D2B4E"/>
              <w:bottom w:val="single" w:sz="4" w:space="0" w:color="0D2B4E"/>
              <w:right w:val="single" w:sz="4" w:space="0" w:color="0D2B4E"/>
            </w:tcBorders>
            <w:tcW w:w="1984" w:type="dxa"/>
            <w:vAlign w:val="center"/>
          </w:tcPr>
          <w:p>
            <w:pPr>
              <w:jc w:val="left"/>
              <w:spacing w:before="40" w:after="40"/>
            </w:pPr>
            <w:r/>
            <w:r>
              <w:rPr>
                <w:rFonts w:ascii="Calibri" w:hAnsi="Calibri"/>
                <w:b/>
                <w:color w:val="FFFFFF"/>
                <w:sz w:val="18"/>
              </w:rPr>
              <w:t>USD Billions</w:t>
            </w:r>
          </w:p>
        </w:tc>
        <w:tc>
          <w:tcPr>
            <w:tcW w:type="dxa" w:w="1680"/>
            <w:shd w:val="clear" w:color="auto" w:fill="0D2B4E"/>
            <w:tcBorders>
              <w:top w:val="single" w:sz="4" w:space="0" w:color="0D2B4E"/>
              <w:left w:val="single" w:sz="4" w:space="0" w:color="0D2B4E"/>
              <w:bottom w:val="single" w:sz="4" w:space="0" w:color="0D2B4E"/>
              <w:right w:val="single" w:sz="4" w:space="0" w:color="0D2B4E"/>
            </w:tcBorders>
            <w:tcW w:w="1474" w:type="dxa"/>
            <w:vAlign w:val="center"/>
          </w:tcPr>
          <w:p>
            <w:pPr>
              <w:jc w:val="left"/>
              <w:spacing w:before="40" w:after="40"/>
            </w:pPr>
            <w:r/>
            <w:r>
              <w:rPr>
                <w:rFonts w:ascii="Calibri" w:hAnsi="Calibri"/>
                <w:b/>
                <w:color w:val="FFFFFF"/>
                <w:sz w:val="18"/>
              </w:rPr>
              <w:t>2020</w:t>
            </w:r>
          </w:p>
        </w:tc>
        <w:tc>
          <w:tcPr>
            <w:tcW w:type="dxa" w:w="1680"/>
            <w:shd w:val="clear" w:color="auto" w:fill="0D2B4E"/>
            <w:tcBorders>
              <w:top w:val="single" w:sz="4" w:space="0" w:color="0D2B4E"/>
              <w:left w:val="single" w:sz="4" w:space="0" w:color="0D2B4E"/>
              <w:bottom w:val="single" w:sz="4" w:space="0" w:color="0D2B4E"/>
              <w:right w:val="single" w:sz="4" w:space="0" w:color="0D2B4E"/>
            </w:tcBorders>
            <w:tcW w:w="1474" w:type="dxa"/>
            <w:vAlign w:val="center"/>
          </w:tcPr>
          <w:p>
            <w:pPr>
              <w:jc w:val="left"/>
              <w:spacing w:before="40" w:after="40"/>
            </w:pPr>
            <w:r/>
            <w:r>
              <w:rPr>
                <w:rFonts w:ascii="Calibri" w:hAnsi="Calibri"/>
                <w:b/>
                <w:color w:val="FFFFFF"/>
                <w:sz w:val="18"/>
              </w:rPr>
              <w:t>2021</w:t>
            </w:r>
          </w:p>
        </w:tc>
        <w:tc>
          <w:tcPr>
            <w:tcW w:type="dxa" w:w="1680"/>
            <w:shd w:val="clear" w:color="auto" w:fill="0D2B4E"/>
            <w:tcBorders>
              <w:top w:val="single" w:sz="4" w:space="0" w:color="0D2B4E"/>
              <w:left w:val="single" w:sz="4" w:space="0" w:color="0D2B4E"/>
              <w:bottom w:val="single" w:sz="4" w:space="0" w:color="0D2B4E"/>
              <w:right w:val="single" w:sz="4" w:space="0" w:color="0D2B4E"/>
            </w:tcBorders>
            <w:tcW w:w="1474" w:type="dxa"/>
            <w:vAlign w:val="center"/>
          </w:tcPr>
          <w:p>
            <w:pPr>
              <w:jc w:val="left"/>
              <w:spacing w:before="40" w:after="40"/>
            </w:pPr>
            <w:r/>
            <w:r>
              <w:rPr>
                <w:rFonts w:ascii="Calibri" w:hAnsi="Calibri"/>
                <w:b/>
                <w:color w:val="FFFFFF"/>
                <w:sz w:val="18"/>
              </w:rPr>
              <w:t>2022</w:t>
            </w:r>
          </w:p>
        </w:tc>
        <w:tc>
          <w:tcPr>
            <w:tcW w:type="dxa" w:w="1680"/>
            <w:shd w:val="clear" w:color="auto" w:fill="0D2B4E"/>
            <w:tcBorders>
              <w:top w:val="single" w:sz="4" w:space="0" w:color="0D2B4E"/>
              <w:left w:val="single" w:sz="4" w:space="0" w:color="0D2B4E"/>
              <w:bottom w:val="single" w:sz="4" w:space="0" w:color="0D2B4E"/>
              <w:right w:val="single" w:sz="4" w:space="0" w:color="0D2B4E"/>
            </w:tcBorders>
            <w:tcW w:w="1474" w:type="dxa"/>
            <w:vAlign w:val="center"/>
          </w:tcPr>
          <w:p>
            <w:pPr>
              <w:jc w:val="left"/>
              <w:spacing w:before="40" w:after="40"/>
            </w:pPr>
            <w:r/>
            <w:r>
              <w:rPr>
                <w:rFonts w:ascii="Calibri" w:hAnsi="Calibri"/>
                <w:b/>
                <w:color w:val="FFFFFF"/>
                <w:sz w:val="18"/>
              </w:rPr>
              <w:t>2023</w:t>
            </w:r>
          </w:p>
        </w:tc>
        <w:tc>
          <w:tcPr>
            <w:tcW w:type="dxa" w:w="1680"/>
            <w:shd w:val="clear" w:color="auto" w:fill="0D2B4E"/>
            <w:tcBorders>
              <w:top w:val="single" w:sz="4" w:space="0" w:color="0D2B4E"/>
              <w:left w:val="single" w:sz="4" w:space="0" w:color="0D2B4E"/>
              <w:bottom w:val="single" w:sz="4" w:space="0" w:color="0D2B4E"/>
              <w:right w:val="single" w:sz="4" w:space="0" w:color="0D2B4E"/>
            </w:tcBorders>
            <w:tcW w:w="1474" w:type="dxa"/>
            <w:vAlign w:val="center"/>
          </w:tcPr>
          <w:p>
            <w:pPr>
              <w:jc w:val="left"/>
              <w:spacing w:before="40" w:after="40"/>
            </w:pPr>
            <w:r/>
            <w:r>
              <w:rPr>
                <w:rFonts w:ascii="Calibri" w:hAnsi="Calibri"/>
                <w:b/>
                <w:color w:val="FFFFFF"/>
                <w:sz w:val="18"/>
              </w:rPr>
              <w:t>2024</w:t>
            </w:r>
          </w:p>
        </w:tc>
      </w:tr>
      <w:tr>
        <w:tc>
          <w:tcPr>
            <w:tcW w:type="dxa" w:w="1680"/>
            <w:shd w:val="clear" w:color="auto" w:fill="FFFFFF"/>
            <w:tcBorders>
              <w:top w:val="single" w:sz="4" w:space="0" w:color="CCCCCC"/>
              <w:left w:val="single" w:sz="4" w:space="0" w:color="CCCCCC"/>
              <w:bottom w:val="single" w:sz="4" w:space="0" w:color="CCCCCC"/>
              <w:right w:val="single" w:sz="4" w:space="0" w:color="CCCCCC"/>
            </w:tcBorders>
            <w:tcW w:w="1984" w:type="dxa"/>
            <w:vAlign w:val="center"/>
          </w:tcPr>
          <w:p>
            <w:pPr>
              <w:jc w:val="left"/>
              <w:spacing w:before="40" w:after="40"/>
            </w:pPr>
            <w:r/>
            <w:r>
              <w:rPr>
                <w:rFonts w:ascii="Calibri" w:hAnsi="Calibri"/>
                <w:color w:val="1A1A2E"/>
                <w:sz w:val="18"/>
              </w:rPr>
              <w:t>Revenue</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$274.5B</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$365.8B</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$394.3B</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$383.3B</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$391.0B</w:t>
            </w:r>
          </w:p>
        </w:tc>
      </w:tr>
      <w:tr>
        <w:tc>
          <w:tcPr>
            <w:tcW w:type="dxa" w:w="1680"/>
            <w:shd w:val="clear" w:color="auto" w:fill="F4F6F9"/>
            <w:tcBorders>
              <w:top w:val="single" w:sz="4" w:space="0" w:color="CCCCCC"/>
              <w:left w:val="single" w:sz="4" w:space="0" w:color="CCCCCC"/>
              <w:bottom w:val="single" w:sz="4" w:space="0" w:color="CCCCCC"/>
              <w:right w:val="single" w:sz="4" w:space="0" w:color="CCCCCC"/>
            </w:tcBorders>
            <w:tcW w:w="1984" w:type="dxa"/>
            <w:vAlign w:val="center"/>
          </w:tcPr>
          <w:p>
            <w:pPr>
              <w:jc w:val="left"/>
              <w:spacing w:before="40" w:after="40"/>
            </w:pPr>
            <w:r/>
            <w:r>
              <w:rPr>
                <w:rFonts w:ascii="Calibri" w:hAnsi="Calibri"/>
                <w:color w:val="1A1A2E"/>
                <w:sz w:val="18"/>
              </w:rPr>
              <w:t>YoY Growth</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+33.3%</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+7.8%</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-2.8%</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+2.0%</w:t>
            </w:r>
          </w:p>
        </w:tc>
      </w:tr>
      <w:tr>
        <w:tc>
          <w:tcPr>
            <w:tcW w:type="dxa" w:w="1680"/>
            <w:shd w:val="clear" w:color="auto" w:fill="FFFFFF"/>
            <w:tcBorders>
              <w:top w:val="single" w:sz="4" w:space="0" w:color="CCCCCC"/>
              <w:left w:val="single" w:sz="4" w:space="0" w:color="CCCCCC"/>
              <w:bottom w:val="single" w:sz="4" w:space="0" w:color="CCCCCC"/>
              <w:right w:val="single" w:sz="4" w:space="0" w:color="CCCCCC"/>
            </w:tcBorders>
            <w:tcW w:w="1984" w:type="dxa"/>
            <w:vAlign w:val="center"/>
          </w:tcPr>
          <w:p>
            <w:pPr>
              <w:jc w:val="left"/>
              <w:spacing w:before="40" w:after="40"/>
            </w:pPr>
            <w:r/>
            <w:r>
              <w:rPr>
                <w:rFonts w:ascii="Calibri" w:hAnsi="Calibri"/>
                <w:color w:val="1A1A2E"/>
                <w:sz w:val="18"/>
              </w:rPr>
              <w:t>EBIT</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$66.3B</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$108.9B</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$119.4B</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$114.3B</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$114.3B</w:t>
            </w:r>
          </w:p>
        </w:tc>
      </w:tr>
      <w:tr>
        <w:tc>
          <w:tcPr>
            <w:tcW w:type="dxa" w:w="1680"/>
            <w:shd w:val="clear" w:color="auto" w:fill="F4F6F9"/>
            <w:tcBorders>
              <w:top w:val="single" w:sz="4" w:space="0" w:color="CCCCCC"/>
              <w:left w:val="single" w:sz="4" w:space="0" w:color="CCCCCC"/>
              <w:bottom w:val="single" w:sz="4" w:space="0" w:color="CCCCCC"/>
              <w:right w:val="single" w:sz="4" w:space="0" w:color="CCCCCC"/>
            </w:tcBorders>
            <w:tcW w:w="1984" w:type="dxa"/>
            <w:vAlign w:val="center"/>
          </w:tcPr>
          <w:p>
            <w:pPr>
              <w:jc w:val="left"/>
              <w:spacing w:before="40" w:after="40"/>
            </w:pPr>
            <w:r/>
            <w:r>
              <w:rPr>
                <w:rFonts w:ascii="Calibri" w:hAnsi="Calibri"/>
                <w:color w:val="1A1A2E"/>
                <w:sz w:val="18"/>
              </w:rPr>
              <w:t>EBIT Margin</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24.1%</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29.8%</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30.3%</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29.8%</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29.2%</w:t>
            </w:r>
          </w:p>
        </w:tc>
      </w:tr>
      <w:tr>
        <w:tc>
          <w:tcPr>
            <w:tcW w:type="dxa" w:w="1680"/>
            <w:shd w:val="clear" w:color="auto" w:fill="FFFFFF"/>
            <w:tcBorders>
              <w:top w:val="single" w:sz="4" w:space="0" w:color="CCCCCC"/>
              <w:left w:val="single" w:sz="4" w:space="0" w:color="CCCCCC"/>
              <w:bottom w:val="single" w:sz="4" w:space="0" w:color="CCCCCC"/>
              <w:right w:val="single" w:sz="4" w:space="0" w:color="CCCCCC"/>
            </w:tcBorders>
            <w:tcW w:w="1984" w:type="dxa"/>
            <w:vAlign w:val="center"/>
          </w:tcPr>
          <w:p>
            <w:pPr>
              <w:jc w:val="left"/>
              <w:spacing w:before="40" w:after="40"/>
            </w:pPr>
            <w:r/>
            <w:r>
              <w:rPr>
                <w:rFonts w:ascii="Calibri" w:hAnsi="Calibri"/>
                <w:color w:val="1A1A2E"/>
                <w:sz w:val="18"/>
              </w:rPr>
              <w:t>Net Income</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$57.4B</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$94.7B</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$99.8B</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$97.0B</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$93.7B</w:t>
            </w:r>
          </w:p>
        </w:tc>
      </w:tr>
      <w:tr>
        <w:tc>
          <w:tcPr>
            <w:tcW w:type="dxa" w:w="1680"/>
            <w:shd w:val="clear" w:color="auto" w:fill="F4F6F9"/>
            <w:tcBorders>
              <w:top w:val="single" w:sz="4" w:space="0" w:color="CCCCCC"/>
              <w:left w:val="single" w:sz="4" w:space="0" w:color="CCCCCC"/>
              <w:bottom w:val="single" w:sz="4" w:space="0" w:color="CCCCCC"/>
              <w:right w:val="single" w:sz="4" w:space="0" w:color="CCCCCC"/>
            </w:tcBorders>
            <w:tcW w:w="1984" w:type="dxa"/>
            <w:vAlign w:val="center"/>
          </w:tcPr>
          <w:p>
            <w:pPr>
              <w:jc w:val="left"/>
              <w:spacing w:before="40" w:after="40"/>
            </w:pPr>
            <w:r/>
            <w:r>
              <w:rPr>
                <w:rFonts w:ascii="Calibri" w:hAnsi="Calibri"/>
                <w:color w:val="1A1A2E"/>
                <w:sz w:val="18"/>
              </w:rPr>
              <w:t>EPS</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$3.28</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$5.61</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$6.11</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$6.13</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$6.11</w:t>
            </w:r>
          </w:p>
        </w:tc>
      </w:tr>
      <w:tr>
        <w:tc>
          <w:tcPr>
            <w:tcW w:type="dxa" w:w="1680"/>
            <w:shd w:val="clear" w:color="auto" w:fill="FFFFFF"/>
            <w:tcBorders>
              <w:top w:val="single" w:sz="4" w:space="0" w:color="CCCCCC"/>
              <w:left w:val="single" w:sz="4" w:space="0" w:color="CCCCCC"/>
              <w:bottom w:val="single" w:sz="4" w:space="0" w:color="CCCCCC"/>
              <w:right w:val="single" w:sz="4" w:space="0" w:color="CCCCCC"/>
            </w:tcBorders>
            <w:tcW w:w="1984" w:type="dxa"/>
            <w:vAlign w:val="center"/>
          </w:tcPr>
          <w:p>
            <w:pPr>
              <w:jc w:val="left"/>
              <w:spacing w:before="40" w:after="40"/>
            </w:pPr>
            <w:r/>
            <w:r>
              <w:rPr>
                <w:rFonts w:ascii="Calibri" w:hAnsi="Calibri"/>
                <w:color w:val="1A1A2E"/>
                <w:sz w:val="18"/>
              </w:rPr>
              <w:t>Free Cash Flow</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$73.4B</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$93.0B</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$111.4B</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$99.6B</w:t>
            </w:r>
          </w:p>
        </w:tc>
        <w:tc>
          <w:tcPr>
            <w:tcW w:type="dxa" w:w="1680"/>
            <w:shd w:val="clear" w:color="auto" w:fill="FFFFFF"/>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$108.8B</w:t>
            </w:r>
          </w:p>
        </w:tc>
      </w:tr>
      <w:tr>
        <w:tc>
          <w:tcPr>
            <w:tcW w:type="dxa" w:w="1680"/>
            <w:shd w:val="clear" w:color="auto" w:fill="F4F6F9"/>
            <w:tcBorders>
              <w:top w:val="single" w:sz="4" w:space="0" w:color="CCCCCC"/>
              <w:left w:val="single" w:sz="4" w:space="0" w:color="CCCCCC"/>
              <w:bottom w:val="single" w:sz="4" w:space="0" w:color="CCCCCC"/>
              <w:right w:val="single" w:sz="4" w:space="0" w:color="CCCCCC"/>
            </w:tcBorders>
            <w:tcW w:w="1984" w:type="dxa"/>
            <w:vAlign w:val="center"/>
          </w:tcPr>
          <w:p>
            <w:pPr>
              <w:jc w:val="left"/>
              <w:spacing w:before="40" w:after="40"/>
            </w:pPr>
            <w:r/>
            <w:r>
              <w:rPr>
                <w:rFonts w:ascii="Calibri" w:hAnsi="Calibri"/>
                <w:color w:val="1A1A2E"/>
                <w:sz w:val="18"/>
              </w:rPr>
              <w:t>FCF Margin</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26.7%</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25.4%</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28.3%</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26.0%</w:t>
            </w:r>
          </w:p>
        </w:tc>
        <w:tc>
          <w:tcPr>
            <w:tcW w:type="dxa" w:w="1680"/>
            <w:shd w:val="clear" w:color="auto" w:fill="F4F6F9"/>
            <w:tcBorders>
              <w:top w:val="single" w:sz="4" w:space="0" w:color="CCCCCC"/>
              <w:left w:val="single" w:sz="4" w:space="0" w:color="CCCCCC"/>
              <w:bottom w:val="single" w:sz="4" w:space="0" w:color="CCCCCC"/>
              <w:right w:val="single" w:sz="4" w:space="0" w:color="CCCCCC"/>
            </w:tcBorders>
            <w:tcW w:w="1474" w:type="dxa"/>
            <w:vAlign w:val="center"/>
          </w:tcPr>
          <w:p>
            <w:pPr>
              <w:jc w:val="left"/>
              <w:spacing w:before="40" w:after="40"/>
            </w:pPr>
            <w:r/>
            <w:r>
              <w:rPr>
                <w:rFonts w:ascii="Calibri" w:hAnsi="Calibri"/>
                <w:color w:val="1A1A2E"/>
                <w:sz w:val="18"/>
              </w:rPr>
              <w:t>27.8%</w:t>
            </w:r>
          </w:p>
        </w:tc>
      </w:tr>
    </w:tbl>
    <w:p>
      <w:pPr>
        <w:spacing w:before="0" w:after="80"/>
      </w:pPr>
    </w:p>
    <w:p>
      <w:pPr>
        <w:pStyle w:val="Heading2"/>
        <w:jc w:val="left"/>
        <w:spacing w:before="120" w:after="60"/>
      </w:pPr>
      <w:r>
        <w:rPr>
          <w:rFonts w:ascii="Calibri" w:hAnsi="Calibri"/>
          <w:b/>
          <w:color w:val="1A5276"/>
          <w:sz w:val="26"/>
        </w:rPr>
        <w:t>Balance Sheet &amp; Cash Flow (FY2024)</w:t>
      </w:r>
    </w:p>
    <w:tbl>
      <w:tblGrid>
        <w:gridCol w:w="2551"/>
        <w:gridCol w:w="2126"/>
        <w:gridCol w:w="2551"/>
        <w:gridCol w:w="2126"/>
      </w:tblGrid>
      <w:tblPr>
        <w:tblStyle w:val="TableGrid"/>
        <w:tblW w:type="auto" w:w="0"/>
        <w:jc w:val="left"/>
        <w:tblLook w:firstColumn="1" w:firstRow="1" w:lastColumn="0" w:lastRow="0" w:noHBand="0" w:noVBand="1" w:val="04A0"/>
      </w:tblPr>
      <w:tr>
        <w:tc>
          <w:tcPr>
            <w:tcW w:type="dxa" w:w="2520"/>
            <w:shd w:val="clear" w:color="auto" w:fill="0D2B4E"/>
            <w:tcBorders>
              <w:top w:val="single" w:sz="4" w:space="0" w:color="0D2B4E"/>
              <w:left w:val="single" w:sz="4" w:space="0" w:color="0D2B4E"/>
              <w:bottom w:val="single" w:sz="4" w:space="0" w:color="0D2B4E"/>
              <w:right w:val="single" w:sz="4" w:space="0" w:color="0D2B4E"/>
            </w:tcBorders>
            <w:tcW w:w="2551" w:type="dxa"/>
            <w:vAlign w:val="center"/>
          </w:tcPr>
          <w:p>
            <w:pPr>
              <w:jc w:val="left"/>
              <w:spacing w:before="40" w:after="40"/>
            </w:pPr>
            <w:r/>
            <w:r>
              <w:rPr>
                <w:rFonts w:ascii="Calibri" w:hAnsi="Calibri"/>
                <w:b/>
                <w:color w:val="FFFFFF"/>
                <w:sz w:val="18"/>
              </w:rPr>
              <w:t>Balance Sheet</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2126" w:type="dxa"/>
            <w:vAlign w:val="center"/>
          </w:tcPr>
          <w:p>
            <w:pPr>
              <w:jc w:val="left"/>
              <w:spacing w:before="40" w:after="40"/>
            </w:pPr>
            <w:r/>
            <w:r>
              <w:rPr>
                <w:rFonts w:ascii="Calibri" w:hAnsi="Calibri"/>
                <w:b/>
                <w:color w:val="FFFFFF"/>
                <w:sz w:val="18"/>
              </w:rPr>
              <w:t>Value</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2551" w:type="dxa"/>
            <w:vAlign w:val="center"/>
          </w:tcPr>
          <w:p>
            <w:pPr>
              <w:jc w:val="left"/>
              <w:spacing w:before="40" w:after="40"/>
            </w:pPr>
            <w:r/>
            <w:r>
              <w:rPr>
                <w:rFonts w:ascii="Calibri" w:hAnsi="Calibri"/>
                <w:b/>
                <w:color w:val="FFFFFF"/>
                <w:sz w:val="18"/>
              </w:rPr>
              <w:t>Cash Flow</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2126" w:type="dxa"/>
            <w:vAlign w:val="center"/>
          </w:tcPr>
          <w:p>
            <w:pPr>
              <w:jc w:val="left"/>
              <w:spacing w:before="40" w:after="40"/>
            </w:pPr>
            <w:r/>
            <w:r>
              <w:rPr>
                <w:rFonts w:ascii="Calibri" w:hAnsi="Calibri"/>
                <w:b/>
                <w:color w:val="FFFFFF"/>
                <w:sz w:val="18"/>
              </w:rPr>
              <w:t>Value</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Total Assets</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$359.2B</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Operating Cash Flow</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$111.5B</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Total Equity</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$73.7B</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CapEx</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$12.7B</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Total Debt</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$90.7B</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D&amp;A</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$11.7B</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Cash</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$35.9B</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Free Cash Flow</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$98.8B</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Net Debt</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$54.7B</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FCF Yield</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3.05%</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Current Ratio</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0.87x</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Dividend / Share</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$0.99</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Interest Coverage</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30.4x</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Dividend Yield</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126" w:type="dxa"/>
            <w:vAlign w:val="center"/>
          </w:tcPr>
          <w:p>
            <w:pPr>
              <w:jc w:val="left"/>
              <w:spacing w:before="40" w:after="40"/>
            </w:pPr>
            <w:r/>
            <w:r>
              <w:rPr>
                <w:rFonts w:ascii="Calibri" w:hAnsi="Calibri"/>
                <w:color w:val="1A1A2E"/>
                <w:sz w:val="18"/>
              </w:rPr>
              <w:t>0.47%</w:t>
            </w:r>
          </w:p>
        </w:tc>
      </w:tr>
    </w:tbl>
    <w:p>
      <w:pPr>
        <w:spacing w:before="0" w:after="80"/>
      </w:pPr>
    </w:p>
    <w:p>
      <w:pPr>
        <w:pStyle w:val="Heading2"/>
        <w:jc w:val="left"/>
        <w:spacing w:before="120" w:after="60"/>
      </w:pPr>
      <w:r>
        <w:rPr>
          <w:rFonts w:ascii="Calibri" w:hAnsi="Calibri"/>
          <w:b/>
          <w:color w:val="1A5276"/>
          <w:sz w:val="26"/>
        </w:rPr>
        <w:t>Quality Metrics</w:t>
      </w:r>
    </w:p>
    <w:tbl>
      <w:tblGrid>
        <w:gridCol w:w="2551"/>
        <w:gridCol w:w="1417"/>
        <w:gridCol w:w="5386"/>
      </w:tblGrid>
      <w:tblPr>
        <w:tblStyle w:val="TableGrid"/>
        <w:tblW w:type="auto" w:w="0"/>
        <w:jc w:val="left"/>
        <w:tblLook w:firstColumn="1" w:firstRow="1" w:lastColumn="0" w:lastRow="0" w:noHBand="0" w:noVBand="1" w:val="04A0"/>
      </w:tblPr>
      <w:tr>
        <w:tc>
          <w:tcPr>
            <w:tcW w:type="dxa" w:w="3360"/>
            <w:shd w:val="clear" w:color="auto" w:fill="0D2B4E"/>
            <w:tcBorders>
              <w:top w:val="single" w:sz="4" w:space="0" w:color="0D2B4E"/>
              <w:left w:val="single" w:sz="4" w:space="0" w:color="0D2B4E"/>
              <w:bottom w:val="single" w:sz="4" w:space="0" w:color="0D2B4E"/>
              <w:right w:val="single" w:sz="4" w:space="0" w:color="0D2B4E"/>
            </w:tcBorders>
            <w:tcW w:w="2551" w:type="dxa"/>
            <w:vAlign w:val="center"/>
          </w:tcPr>
          <w:p>
            <w:pPr>
              <w:jc w:val="left"/>
              <w:spacing w:before="40" w:after="40"/>
            </w:pPr>
            <w:r/>
            <w:r>
              <w:rPr>
                <w:rFonts w:ascii="Calibri" w:hAnsi="Calibri"/>
                <w:b/>
                <w:color w:val="FFFFFF"/>
                <w:sz w:val="18"/>
              </w:rPr>
              <w:t>Metric</w:t>
            </w:r>
          </w:p>
        </w:tc>
        <w:tc>
          <w:tcPr>
            <w:tcW w:type="dxa" w:w="3360"/>
            <w:shd w:val="clear" w:color="auto" w:fill="0D2B4E"/>
            <w:tcBorders>
              <w:top w:val="single" w:sz="4" w:space="0" w:color="0D2B4E"/>
              <w:left w:val="single" w:sz="4" w:space="0" w:color="0D2B4E"/>
              <w:bottom w:val="single" w:sz="4" w:space="0" w:color="0D2B4E"/>
              <w:right w:val="single" w:sz="4" w:space="0" w:color="0D2B4E"/>
            </w:tcBorders>
            <w:tcW w:w="1417" w:type="dxa"/>
            <w:vAlign w:val="center"/>
          </w:tcPr>
          <w:p>
            <w:pPr>
              <w:jc w:val="left"/>
              <w:spacing w:before="40" w:after="40"/>
            </w:pPr>
            <w:r/>
            <w:r>
              <w:rPr>
                <w:rFonts w:ascii="Calibri" w:hAnsi="Calibri"/>
                <w:b/>
                <w:color w:val="FFFFFF"/>
                <w:sz w:val="18"/>
              </w:rPr>
              <w:t>Value</w:t>
            </w:r>
          </w:p>
        </w:tc>
        <w:tc>
          <w:tcPr>
            <w:tcW w:type="dxa" w:w="3360"/>
            <w:shd w:val="clear" w:color="auto" w:fill="0D2B4E"/>
            <w:tcBorders>
              <w:top w:val="single" w:sz="4" w:space="0" w:color="0D2B4E"/>
              <w:left w:val="single" w:sz="4" w:space="0" w:color="0D2B4E"/>
              <w:bottom w:val="single" w:sz="4" w:space="0" w:color="0D2B4E"/>
              <w:right w:val="single" w:sz="4" w:space="0" w:color="0D2B4E"/>
            </w:tcBorders>
            <w:tcW w:w="5386" w:type="dxa"/>
            <w:vAlign w:val="center"/>
          </w:tcPr>
          <w:p>
            <w:pPr>
              <w:jc w:val="left"/>
              <w:spacing w:before="40" w:after="40"/>
            </w:pPr>
            <w:r/>
            <w:r>
              <w:rPr>
                <w:rFonts w:ascii="Calibri" w:hAnsi="Calibri"/>
                <w:b/>
                <w:color w:val="FFFFFF"/>
                <w:sz w:val="18"/>
              </w:rPr>
              <w:t>Assessment</w:t>
            </w:r>
          </w:p>
        </w:tc>
      </w:tr>
      <w:tr>
        <w:tc>
          <w:tcPr>
            <w:tcW w:type="dxa" w:w="336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Return on Equity (ROE)</w:t>
            </w:r>
          </w:p>
        </w:tc>
        <w:tc>
          <w:tcPr>
            <w:tcW w:type="dxa" w:w="3360"/>
            <w:shd w:val="clear" w:color="auto" w:fill="FFFFFF"/>
            <w:tcBorders>
              <w:top w:val="single" w:sz="4" w:space="0" w:color="CCCCCC"/>
              <w:left w:val="single" w:sz="4" w:space="0" w:color="CCCCCC"/>
              <w:bottom w:val="single" w:sz="4" w:space="0" w:color="CCCCCC"/>
              <w:right w:val="single" w:sz="4" w:space="0" w:color="CCCCCC"/>
            </w:tcBorders>
            <w:tcW w:w="1417" w:type="dxa"/>
            <w:vAlign w:val="center"/>
          </w:tcPr>
          <w:p>
            <w:pPr>
              <w:jc w:val="left"/>
              <w:spacing w:before="40" w:after="40"/>
            </w:pPr>
            <w:r/>
            <w:r>
              <w:rPr>
                <w:rFonts w:ascii="Calibri" w:hAnsi="Calibri"/>
                <w:color w:val="1A1A2E"/>
                <w:sz w:val="18"/>
              </w:rPr>
              <w:t>151.9%</w:t>
            </w:r>
          </w:p>
        </w:tc>
        <w:tc>
          <w:tcPr>
            <w:tcW w:type="dxa" w:w="3360"/>
            <w:shd w:val="clear" w:color="auto" w:fill="FFFFFF"/>
            <w:tcBorders>
              <w:top w:val="single" w:sz="4" w:space="0" w:color="CCCCCC"/>
              <w:left w:val="single" w:sz="4" w:space="0" w:color="CCCCCC"/>
              <w:bottom w:val="single" w:sz="4" w:space="0" w:color="CCCCCC"/>
              <w:right w:val="single" w:sz="4" w:space="0" w:color="CCCCCC"/>
            </w:tcBorders>
            <w:tcW w:w="5386" w:type="dxa"/>
            <w:vAlign w:val="center"/>
          </w:tcPr>
          <w:p>
            <w:pPr>
              <w:jc w:val="left"/>
              <w:spacing w:before="40" w:after="40"/>
            </w:pPr>
            <w:r/>
            <w:r>
              <w:rPr>
                <w:rFonts w:ascii="Calibri" w:hAnsi="Calibri"/>
                <w:color w:val="1A1A2E"/>
                <w:sz w:val="18"/>
              </w:rPr>
              <w:t>Best-in-class; net debt amplification effect</w:t>
            </w:r>
          </w:p>
        </w:tc>
      </w:tr>
      <w:tr>
        <w:tc>
          <w:tcPr>
            <w:tcW w:type="dxa" w:w="336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Return on Invested Capital</w:t>
            </w:r>
          </w:p>
        </w:tc>
        <w:tc>
          <w:tcPr>
            <w:tcW w:type="dxa" w:w="3360"/>
            <w:shd w:val="clear" w:color="auto" w:fill="F4F6F9"/>
            <w:tcBorders>
              <w:top w:val="single" w:sz="4" w:space="0" w:color="CCCCCC"/>
              <w:left w:val="single" w:sz="4" w:space="0" w:color="CCCCCC"/>
              <w:bottom w:val="single" w:sz="4" w:space="0" w:color="CCCCCC"/>
              <w:right w:val="single" w:sz="4" w:space="0" w:color="CCCCCC"/>
            </w:tcBorders>
            <w:tcW w:w="1417" w:type="dxa"/>
            <w:vAlign w:val="center"/>
          </w:tcPr>
          <w:p>
            <w:pPr>
              <w:jc w:val="left"/>
              <w:spacing w:before="40" w:after="40"/>
            </w:pPr>
            <w:r/>
            <w:r>
              <w:rPr>
                <w:rFonts w:ascii="Calibri" w:hAnsi="Calibri"/>
                <w:color w:val="1A1A2E"/>
                <w:sz w:val="18"/>
              </w:rPr>
              <w:t>31.2%</w:t>
            </w:r>
          </w:p>
        </w:tc>
        <w:tc>
          <w:tcPr>
            <w:tcW w:type="dxa" w:w="3360"/>
            <w:shd w:val="clear" w:color="auto" w:fill="F4F6F9"/>
            <w:tcBorders>
              <w:top w:val="single" w:sz="4" w:space="0" w:color="CCCCCC"/>
              <w:left w:val="single" w:sz="4" w:space="0" w:color="CCCCCC"/>
              <w:bottom w:val="single" w:sz="4" w:space="0" w:color="CCCCCC"/>
              <w:right w:val="single" w:sz="4" w:space="0" w:color="CCCCCC"/>
            </w:tcBorders>
            <w:tcW w:w="5386" w:type="dxa"/>
            <w:vAlign w:val="center"/>
          </w:tcPr>
          <w:p>
            <w:pPr>
              <w:jc w:val="left"/>
              <w:spacing w:before="40" w:after="40"/>
            </w:pPr>
            <w:r/>
            <w:r>
              <w:rPr>
                <w:rFonts w:ascii="Calibri" w:hAnsi="Calibri"/>
                <w:color w:val="1A1A2E"/>
                <w:sz w:val="18"/>
              </w:rPr>
              <w:t>Top-tier capital efficiency vs. tech peers</w:t>
            </w:r>
          </w:p>
        </w:tc>
      </w:tr>
      <w:tr>
        <w:tc>
          <w:tcPr>
            <w:tcW w:type="dxa" w:w="336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Gross Margin</w:t>
            </w:r>
          </w:p>
        </w:tc>
        <w:tc>
          <w:tcPr>
            <w:tcW w:type="dxa" w:w="3360"/>
            <w:shd w:val="clear" w:color="auto" w:fill="FFFFFF"/>
            <w:tcBorders>
              <w:top w:val="single" w:sz="4" w:space="0" w:color="CCCCCC"/>
              <w:left w:val="single" w:sz="4" w:space="0" w:color="CCCCCC"/>
              <w:bottom w:val="single" w:sz="4" w:space="0" w:color="CCCCCC"/>
              <w:right w:val="single" w:sz="4" w:space="0" w:color="CCCCCC"/>
            </w:tcBorders>
            <w:tcW w:w="1417" w:type="dxa"/>
            <w:vAlign w:val="center"/>
          </w:tcPr>
          <w:p>
            <w:pPr>
              <w:jc w:val="left"/>
              <w:spacing w:before="40" w:after="40"/>
            </w:pPr>
            <w:r/>
            <w:r>
              <w:rPr>
                <w:rFonts w:ascii="Calibri" w:hAnsi="Calibri"/>
                <w:color w:val="1A1A2E"/>
                <w:sz w:val="18"/>
              </w:rPr>
              <w:t>46.9%</w:t>
            </w:r>
          </w:p>
        </w:tc>
        <w:tc>
          <w:tcPr>
            <w:tcW w:type="dxa" w:w="3360"/>
            <w:shd w:val="clear" w:color="auto" w:fill="FFFFFF"/>
            <w:tcBorders>
              <w:top w:val="single" w:sz="4" w:space="0" w:color="CCCCCC"/>
              <w:left w:val="single" w:sz="4" w:space="0" w:color="CCCCCC"/>
              <w:bottom w:val="single" w:sz="4" w:space="0" w:color="CCCCCC"/>
              <w:right w:val="single" w:sz="4" w:space="0" w:color="CCCCCC"/>
            </w:tcBorders>
            <w:tcW w:w="5386" w:type="dxa"/>
            <w:vAlign w:val="center"/>
          </w:tcPr>
          <w:p>
            <w:pPr>
              <w:jc w:val="left"/>
              <w:spacing w:before="40" w:after="40"/>
            </w:pPr>
            <w:r/>
            <w:r>
              <w:rPr>
                <w:rFonts w:ascii="Calibri" w:hAnsi="Calibri"/>
                <w:color w:val="1A1A2E"/>
                <w:sz w:val="18"/>
              </w:rPr>
              <w:t>Services mix driving structural expansion</w:t>
            </w:r>
          </w:p>
        </w:tc>
      </w:tr>
      <w:tr>
        <w:tc>
          <w:tcPr>
            <w:tcW w:type="dxa" w:w="336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EBIT Margin</w:t>
            </w:r>
          </w:p>
        </w:tc>
        <w:tc>
          <w:tcPr>
            <w:tcW w:type="dxa" w:w="3360"/>
            <w:shd w:val="clear" w:color="auto" w:fill="F4F6F9"/>
            <w:tcBorders>
              <w:top w:val="single" w:sz="4" w:space="0" w:color="CCCCCC"/>
              <w:left w:val="single" w:sz="4" w:space="0" w:color="CCCCCC"/>
              <w:bottom w:val="single" w:sz="4" w:space="0" w:color="CCCCCC"/>
              <w:right w:val="single" w:sz="4" w:space="0" w:color="CCCCCC"/>
            </w:tcBorders>
            <w:tcW w:w="1417" w:type="dxa"/>
            <w:vAlign w:val="center"/>
          </w:tcPr>
          <w:p>
            <w:pPr>
              <w:jc w:val="left"/>
              <w:spacing w:before="40" w:after="40"/>
            </w:pPr>
            <w:r/>
            <w:r>
              <w:rPr>
                <w:rFonts w:ascii="Calibri" w:hAnsi="Calibri"/>
                <w:color w:val="1A1A2E"/>
                <w:sz w:val="18"/>
              </w:rPr>
              <w:t>29.2%</w:t>
            </w:r>
          </w:p>
        </w:tc>
        <w:tc>
          <w:tcPr>
            <w:tcW w:type="dxa" w:w="3360"/>
            <w:shd w:val="clear" w:color="auto" w:fill="F4F6F9"/>
            <w:tcBorders>
              <w:top w:val="single" w:sz="4" w:space="0" w:color="CCCCCC"/>
              <w:left w:val="single" w:sz="4" w:space="0" w:color="CCCCCC"/>
              <w:bottom w:val="single" w:sz="4" w:space="0" w:color="CCCCCC"/>
              <w:right w:val="single" w:sz="4" w:space="0" w:color="CCCCCC"/>
            </w:tcBorders>
            <w:tcW w:w="5386" w:type="dxa"/>
            <w:vAlign w:val="center"/>
          </w:tcPr>
          <w:p>
            <w:pPr>
              <w:jc w:val="left"/>
              <w:spacing w:before="40" w:after="40"/>
            </w:pPr>
            <w:r/>
            <w:r>
              <w:rPr>
                <w:rFonts w:ascii="Calibri" w:hAnsi="Calibri"/>
                <w:color w:val="1A1A2E"/>
                <w:sz w:val="18"/>
              </w:rPr>
              <w:t>Above mega-cap average; AI OpEx headwind in FY25</w:t>
            </w:r>
          </w:p>
        </w:tc>
      </w:tr>
      <w:tr>
        <w:tc>
          <w:tcPr>
            <w:tcW w:type="dxa" w:w="336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Revenue 5Y CAGR</w:t>
            </w:r>
          </w:p>
        </w:tc>
        <w:tc>
          <w:tcPr>
            <w:tcW w:type="dxa" w:w="3360"/>
            <w:shd w:val="clear" w:color="auto" w:fill="FFFFFF"/>
            <w:tcBorders>
              <w:top w:val="single" w:sz="4" w:space="0" w:color="CCCCCC"/>
              <w:left w:val="single" w:sz="4" w:space="0" w:color="CCCCCC"/>
              <w:bottom w:val="single" w:sz="4" w:space="0" w:color="CCCCCC"/>
              <w:right w:val="single" w:sz="4" w:space="0" w:color="CCCCCC"/>
            </w:tcBorders>
            <w:tcW w:w="1417" w:type="dxa"/>
            <w:vAlign w:val="center"/>
          </w:tcPr>
          <w:p>
            <w:pPr>
              <w:jc w:val="left"/>
              <w:spacing w:before="40" w:after="40"/>
            </w:pPr>
            <w:r/>
            <w:r>
              <w:rPr>
                <w:rFonts w:ascii="Calibri" w:hAnsi="Calibri"/>
                <w:color w:val="1A1A2E"/>
                <w:sz w:val="18"/>
              </w:rPr>
              <w:t>8.2%</w:t>
            </w:r>
          </w:p>
        </w:tc>
        <w:tc>
          <w:tcPr>
            <w:tcW w:type="dxa" w:w="3360"/>
            <w:shd w:val="clear" w:color="auto" w:fill="FFFFFF"/>
            <w:tcBorders>
              <w:top w:val="single" w:sz="4" w:space="0" w:color="CCCCCC"/>
              <w:left w:val="single" w:sz="4" w:space="0" w:color="CCCCCC"/>
              <w:bottom w:val="single" w:sz="4" w:space="0" w:color="CCCCCC"/>
              <w:right w:val="single" w:sz="4" w:space="0" w:color="CCCCCC"/>
            </w:tcBorders>
            <w:tcW w:w="5386" w:type="dxa"/>
            <w:vAlign w:val="center"/>
          </w:tcPr>
          <w:p>
            <w:pPr>
              <w:jc w:val="left"/>
              <w:spacing w:before="40" w:after="40"/>
            </w:pPr>
            <w:r/>
            <w:r>
              <w:rPr>
                <w:rFonts w:ascii="Calibri" w:hAnsi="Calibri"/>
                <w:color w:val="1A1A2E"/>
                <w:sz w:val="18"/>
              </w:rPr>
              <w:t>Consistent; moderated from pandemic peak</w:t>
            </w:r>
          </w:p>
        </w:tc>
      </w:tr>
      <w:tr>
        <w:tc>
          <w:tcPr>
            <w:tcW w:type="dxa" w:w="336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Debt / Equity</w:t>
            </w:r>
          </w:p>
        </w:tc>
        <w:tc>
          <w:tcPr>
            <w:tcW w:type="dxa" w:w="3360"/>
            <w:shd w:val="clear" w:color="auto" w:fill="F4F6F9"/>
            <w:tcBorders>
              <w:top w:val="single" w:sz="4" w:space="0" w:color="CCCCCC"/>
              <w:left w:val="single" w:sz="4" w:space="0" w:color="CCCCCC"/>
              <w:bottom w:val="single" w:sz="4" w:space="0" w:color="CCCCCC"/>
              <w:right w:val="single" w:sz="4" w:space="0" w:color="CCCCCC"/>
            </w:tcBorders>
            <w:tcW w:w="1417" w:type="dxa"/>
            <w:vAlign w:val="center"/>
          </w:tcPr>
          <w:p>
            <w:pPr>
              <w:jc w:val="left"/>
              <w:spacing w:before="40" w:after="40"/>
            </w:pPr>
            <w:r/>
            <w:r>
              <w:rPr>
                <w:rFonts w:ascii="Calibri" w:hAnsi="Calibri"/>
                <w:color w:val="1A1A2E"/>
                <w:sz w:val="18"/>
              </w:rPr>
              <w:t>1.78x</w:t>
            </w:r>
          </w:p>
        </w:tc>
        <w:tc>
          <w:tcPr>
            <w:tcW w:type="dxa" w:w="3360"/>
            <w:shd w:val="clear" w:color="auto" w:fill="F4F6F9"/>
            <w:tcBorders>
              <w:top w:val="single" w:sz="4" w:space="0" w:color="CCCCCC"/>
              <w:left w:val="single" w:sz="4" w:space="0" w:color="CCCCCC"/>
              <w:bottom w:val="single" w:sz="4" w:space="0" w:color="CCCCCC"/>
              <w:right w:val="single" w:sz="4" w:space="0" w:color="CCCCCC"/>
            </w:tcBorders>
            <w:tcW w:w="5386" w:type="dxa"/>
            <w:vAlign w:val="center"/>
          </w:tcPr>
          <w:p>
            <w:pPr>
              <w:jc w:val="left"/>
              <w:spacing w:before="40" w:after="40"/>
            </w:pPr>
            <w:r/>
            <w:r>
              <w:rPr>
                <w:rFonts w:ascii="Calibri" w:hAnsi="Calibri"/>
                <w:color w:val="1A1A2E"/>
                <w:sz w:val="18"/>
              </w:rPr>
              <w:t>Elevated but serviceable; buyback-driven</w:t>
            </w:r>
          </w:p>
        </w:tc>
      </w:tr>
    </w:tbl>
    <w:p>
      <w:r>
        <w:br w:type="page"/>
      </w:r>
    </w:p>
    <w:p>
      <w:r>
        <w:br w:type="page"/>
      </w:r>
    </w:p>
    <w:p>
      <w:pPr>
        <w:pStyle w:val="Heading1"/>
        <w:jc w:val="left"/>
        <w:pBdr>
          <w:bottom w:val="single" w:sz="12" w:space="1" w:color="C4973A"/>
        </w:pBdr>
        <w:spacing w:before="160" w:after="80"/>
      </w:pPr>
      <w:r>
        <w:rPr>
          <w:rFonts w:ascii="Calibri" w:hAnsi="Calibri"/>
          <w:b/>
          <w:color w:val="0D2B4E"/>
          <w:sz w:val="32"/>
        </w:rPr>
        <w:t>Valuation Analysis</w:t>
      </w:r>
    </w:p>
    <w:p>
      <w:pPr>
        <w:pStyle w:val="Heading2"/>
        <w:jc w:val="left"/>
        <w:spacing w:before="120" w:after="60"/>
      </w:pPr>
      <w:r>
        <w:rPr>
          <w:rFonts w:ascii="Calibri" w:hAnsi="Calibri"/>
          <w:b/>
          <w:color w:val="1A5276"/>
          <w:sz w:val="26"/>
        </w:rPr>
        <w:t>DCF Model — Scenario Assumptions</w:t>
      </w:r>
    </w:p>
    <w:tbl>
      <w:tblGrid>
        <w:gridCol w:w="3118"/>
        <w:gridCol w:w="2080"/>
        <w:gridCol w:w="2080"/>
        <w:gridCol w:w="2075"/>
      </w:tblGrid>
      <w:tblPr>
        <w:tblStyle w:val="TableGrid"/>
        <w:tblW w:type="auto" w:w="0"/>
        <w:jc w:val="left"/>
        <w:tblLook w:firstColumn="1" w:firstRow="1" w:lastColumn="0" w:lastRow="0" w:noHBand="0" w:noVBand="1" w:val="04A0"/>
      </w:tblPr>
      <w:tr>
        <w:tc>
          <w:tcPr>
            <w:tcW w:type="dxa" w:w="2520"/>
            <w:shd w:val="clear" w:color="auto" w:fill="0D2B4E"/>
            <w:tcBorders>
              <w:top w:val="single" w:sz="4" w:space="0" w:color="0D2B4E"/>
              <w:left w:val="single" w:sz="4" w:space="0" w:color="0D2B4E"/>
              <w:bottom w:val="single" w:sz="4" w:space="0" w:color="0D2B4E"/>
              <w:right w:val="single" w:sz="4" w:space="0" w:color="0D2B4E"/>
            </w:tcBorders>
            <w:tcW w:w="3118" w:type="dxa"/>
            <w:vAlign w:val="center"/>
          </w:tcPr>
          <w:p>
            <w:pPr>
              <w:jc w:val="left"/>
              <w:spacing w:before="40" w:after="40"/>
            </w:pPr>
            <w:r/>
            <w:r>
              <w:rPr>
                <w:rFonts w:ascii="Calibri" w:hAnsi="Calibri"/>
                <w:b/>
                <w:color w:val="FFFFFF"/>
                <w:sz w:val="18"/>
              </w:rPr>
              <w:t>Assumption</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2080" w:type="dxa"/>
            <w:vAlign w:val="center"/>
          </w:tcPr>
          <w:p>
            <w:pPr>
              <w:jc w:val="left"/>
              <w:spacing w:before="40" w:after="40"/>
            </w:pPr>
            <w:r/>
            <w:r>
              <w:rPr>
                <w:rFonts w:ascii="Calibri" w:hAnsi="Calibri"/>
                <w:b/>
                <w:color w:val="FFFFFF"/>
                <w:sz w:val="18"/>
              </w:rPr>
              <w:t>Bear</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2080" w:type="dxa"/>
            <w:vAlign w:val="center"/>
          </w:tcPr>
          <w:p>
            <w:pPr>
              <w:jc w:val="left"/>
              <w:spacing w:before="40" w:after="40"/>
            </w:pPr>
            <w:r/>
            <w:r>
              <w:rPr>
                <w:rFonts w:ascii="Calibri" w:hAnsi="Calibri"/>
                <w:b/>
                <w:color w:val="FFFFFF"/>
                <w:sz w:val="18"/>
              </w:rPr>
              <w:t>Base</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2075" w:type="dxa"/>
            <w:vAlign w:val="center"/>
          </w:tcPr>
          <w:p>
            <w:pPr>
              <w:jc w:val="left"/>
              <w:spacing w:before="40" w:after="40"/>
            </w:pPr>
            <w:r/>
            <w:r>
              <w:rPr>
                <w:rFonts w:ascii="Calibri" w:hAnsi="Calibri"/>
                <w:b/>
                <w:color w:val="FFFFFF"/>
                <w:sz w:val="18"/>
              </w:rPr>
              <w:t>Bull</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3118" w:type="dxa"/>
            <w:vAlign w:val="center"/>
          </w:tcPr>
          <w:p>
            <w:pPr>
              <w:jc w:val="left"/>
              <w:spacing w:before="40" w:after="40"/>
            </w:pPr>
            <w:r/>
            <w:r>
              <w:rPr>
                <w:rFonts w:ascii="Calibri" w:hAnsi="Calibri"/>
                <w:color w:val="1A1A2E"/>
                <w:sz w:val="18"/>
              </w:rPr>
              <w:t>Revenue Growth (Y1–Y3)</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4.9%</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7.5%</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75" w:type="dxa"/>
            <w:vAlign w:val="center"/>
          </w:tcPr>
          <w:p>
            <w:pPr>
              <w:jc w:val="left"/>
              <w:spacing w:before="40" w:after="40"/>
            </w:pPr>
            <w:r/>
            <w:r>
              <w:rPr>
                <w:rFonts w:ascii="Calibri" w:hAnsi="Calibri"/>
                <w:color w:val="1A1A2E"/>
                <w:sz w:val="18"/>
              </w:rPr>
              <w:t>10.1%</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3118" w:type="dxa"/>
            <w:vAlign w:val="center"/>
          </w:tcPr>
          <w:p>
            <w:pPr>
              <w:jc w:val="left"/>
              <w:spacing w:before="40" w:after="40"/>
            </w:pPr>
            <w:r/>
            <w:r>
              <w:rPr>
                <w:rFonts w:ascii="Calibri" w:hAnsi="Calibri"/>
                <w:color w:val="1A1A2E"/>
                <w:sz w:val="18"/>
              </w:rPr>
              <w:t>Revenue Growth (Y4–Y5)</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3.9%</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6.0%</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75" w:type="dxa"/>
            <w:vAlign w:val="center"/>
          </w:tcPr>
          <w:p>
            <w:pPr>
              <w:jc w:val="left"/>
              <w:spacing w:before="40" w:after="40"/>
            </w:pPr>
            <w:r/>
            <w:r>
              <w:rPr>
                <w:rFonts w:ascii="Calibri" w:hAnsi="Calibri"/>
                <w:color w:val="1A1A2E"/>
                <w:sz w:val="18"/>
              </w:rPr>
              <w:t>8.1%</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3118" w:type="dxa"/>
            <w:vAlign w:val="center"/>
          </w:tcPr>
          <w:p>
            <w:pPr>
              <w:jc w:val="left"/>
              <w:spacing w:before="40" w:after="40"/>
            </w:pPr>
            <w:r/>
            <w:r>
              <w:rPr>
                <w:rFonts w:ascii="Calibri" w:hAnsi="Calibri"/>
                <w:color w:val="1A1A2E"/>
                <w:sz w:val="18"/>
              </w:rPr>
              <w:t>EBIT Margin</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27.5%</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29.5%</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75" w:type="dxa"/>
            <w:vAlign w:val="center"/>
          </w:tcPr>
          <w:p>
            <w:pPr>
              <w:jc w:val="left"/>
              <w:spacing w:before="40" w:after="40"/>
            </w:pPr>
            <w:r/>
            <w:r>
              <w:rPr>
                <w:rFonts w:ascii="Calibri" w:hAnsi="Calibri"/>
                <w:color w:val="1A1A2E"/>
                <w:sz w:val="18"/>
              </w:rPr>
              <w:t>32.0%</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3118" w:type="dxa"/>
            <w:vAlign w:val="center"/>
          </w:tcPr>
          <w:p>
            <w:pPr>
              <w:jc w:val="left"/>
              <w:spacing w:before="40" w:after="40"/>
            </w:pPr>
            <w:r/>
            <w:r>
              <w:rPr>
                <w:rFonts w:ascii="Calibri" w:hAnsi="Calibri"/>
                <w:color w:val="1A1A2E"/>
                <w:sz w:val="18"/>
              </w:rPr>
              <w:t>WACC</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10.20%</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8.20%</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75" w:type="dxa"/>
            <w:vAlign w:val="center"/>
          </w:tcPr>
          <w:p>
            <w:pPr>
              <w:jc w:val="left"/>
              <w:spacing w:before="40" w:after="40"/>
            </w:pPr>
            <w:r/>
            <w:r>
              <w:rPr>
                <w:rFonts w:ascii="Calibri" w:hAnsi="Calibri"/>
                <w:color w:val="1A1A2E"/>
                <w:sz w:val="18"/>
              </w:rPr>
              <w:t>6.20%</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3118" w:type="dxa"/>
            <w:vAlign w:val="center"/>
          </w:tcPr>
          <w:p>
            <w:pPr>
              <w:jc w:val="left"/>
              <w:spacing w:before="40" w:after="40"/>
            </w:pPr>
            <w:r/>
            <w:r>
              <w:rPr>
                <w:rFonts w:ascii="Calibri" w:hAnsi="Calibri"/>
                <w:color w:val="1A1A2E"/>
                <w:sz w:val="18"/>
              </w:rPr>
              <w:t>Terminal Growth Rate</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2.00%</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3.00%</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75" w:type="dxa"/>
            <w:vAlign w:val="center"/>
          </w:tcPr>
          <w:p>
            <w:pPr>
              <w:jc w:val="left"/>
              <w:spacing w:before="40" w:after="40"/>
            </w:pPr>
            <w:r/>
            <w:r>
              <w:rPr>
                <w:rFonts w:ascii="Calibri" w:hAnsi="Calibri"/>
                <w:color w:val="1A1A2E"/>
                <w:sz w:val="18"/>
              </w:rPr>
              <w:t>3.50%</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3118" w:type="dxa"/>
            <w:vAlign w:val="center"/>
          </w:tcPr>
          <w:p>
            <w:pPr>
              <w:jc w:val="left"/>
              <w:spacing w:before="40" w:after="40"/>
            </w:pPr>
            <w:r/>
            <w:r>
              <w:rPr>
                <w:rFonts w:ascii="Calibri" w:hAnsi="Calibri"/>
                <w:color w:val="1A1A2E"/>
                <w:sz w:val="18"/>
              </w:rPr>
              <w:t>CapEx (% Revenue)</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2.4%</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2.4%</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75" w:type="dxa"/>
            <w:vAlign w:val="center"/>
          </w:tcPr>
          <w:p>
            <w:pPr>
              <w:jc w:val="left"/>
              <w:spacing w:before="40" w:after="40"/>
            </w:pPr>
            <w:r/>
            <w:r>
              <w:rPr>
                <w:rFonts w:ascii="Calibri" w:hAnsi="Calibri"/>
                <w:color w:val="1A1A2E"/>
                <w:sz w:val="18"/>
              </w:rPr>
              <w:t>2.4%</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3118" w:type="dxa"/>
            <w:vAlign w:val="center"/>
          </w:tcPr>
          <w:p>
            <w:pPr>
              <w:jc w:val="left"/>
              <w:spacing w:before="40" w:after="40"/>
            </w:pPr>
            <w:r/>
            <w:r>
              <w:rPr>
                <w:rFonts w:ascii="Calibri" w:hAnsi="Calibri"/>
                <w:color w:val="1A1A2E"/>
                <w:sz w:val="18"/>
              </w:rPr>
              <w:t>Tax Rate</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15.1%</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15.1%</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75" w:type="dxa"/>
            <w:vAlign w:val="center"/>
          </w:tcPr>
          <w:p>
            <w:pPr>
              <w:jc w:val="left"/>
              <w:spacing w:before="40" w:after="40"/>
            </w:pPr>
            <w:r/>
            <w:r>
              <w:rPr>
                <w:rFonts w:ascii="Calibri" w:hAnsi="Calibri"/>
                <w:color w:val="1A1A2E"/>
                <w:sz w:val="18"/>
              </w:rPr>
              <w:t>15.1%</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3118" w:type="dxa"/>
            <w:vAlign w:val="center"/>
          </w:tcPr>
          <w:p>
            <w:pPr>
              <w:jc w:val="left"/>
              <w:spacing w:before="40" w:after="40"/>
            </w:pPr>
            <w:r/>
            <w:r>
              <w:rPr>
                <w:rFonts w:ascii="Calibri" w:hAnsi="Calibri"/>
                <w:color w:val="1A1A2E"/>
                <w:sz w:val="18"/>
              </w:rPr>
              <w:t>Scenario Weight</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25%</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50%</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75" w:type="dxa"/>
            <w:vAlign w:val="center"/>
          </w:tcPr>
          <w:p>
            <w:pPr>
              <w:jc w:val="left"/>
              <w:spacing w:before="40" w:after="40"/>
            </w:pPr>
            <w:r/>
            <w:r>
              <w:rPr>
                <w:rFonts w:ascii="Calibri" w:hAnsi="Calibri"/>
                <w:color w:val="1A1A2E"/>
                <w:sz w:val="18"/>
              </w:rPr>
              <w:t>25%</w:t>
            </w:r>
          </w:p>
        </w:tc>
      </w:tr>
    </w:tbl>
    <w:p>
      <w:pPr>
        <w:spacing w:before="0" w:after="80"/>
      </w:pPr>
    </w:p>
    <w:p>
      <w:pPr>
        <w:pStyle w:val="Heading2"/>
        <w:jc w:val="left"/>
        <w:spacing w:before="120" w:after="60"/>
      </w:pPr>
      <w:r>
        <w:rPr>
          <w:rFonts w:ascii="Calibri" w:hAnsi="Calibri"/>
          <w:b/>
          <w:color w:val="1A5276"/>
          <w:sz w:val="26"/>
        </w:rPr>
        <w:t>Price Target Bridge</w:t>
      </w:r>
    </w:p>
    <w:tbl>
      <w:tblGrid>
        <w:gridCol w:w="3118"/>
        <w:gridCol w:w="2080"/>
        <w:gridCol w:w="2080"/>
        <w:gridCol w:w="2075"/>
      </w:tblGrid>
      <w:tblPr>
        <w:tblStyle w:val="TableGrid"/>
        <w:tblW w:type="auto" w:w="0"/>
        <w:jc w:val="left"/>
        <w:tblLook w:firstColumn="1" w:firstRow="1" w:lastColumn="0" w:lastRow="0" w:noHBand="0" w:noVBand="1" w:val="04A0"/>
      </w:tblPr>
      <w:tr>
        <w:tc>
          <w:tcPr>
            <w:tcW w:type="dxa" w:w="2520"/>
            <w:shd w:val="clear" w:color="auto" w:fill="0D2B4E"/>
            <w:tcBorders>
              <w:top w:val="single" w:sz="4" w:space="0" w:color="0D2B4E"/>
              <w:left w:val="single" w:sz="4" w:space="0" w:color="0D2B4E"/>
              <w:bottom w:val="single" w:sz="4" w:space="0" w:color="0D2B4E"/>
              <w:right w:val="single" w:sz="4" w:space="0" w:color="0D2B4E"/>
            </w:tcBorders>
            <w:tcW w:w="3118" w:type="dxa"/>
            <w:vAlign w:val="center"/>
          </w:tcPr>
          <w:p>
            <w:pPr>
              <w:jc w:val="left"/>
              <w:spacing w:before="40" w:after="40"/>
            </w:pPr>
            <w:r/>
            <w:r>
              <w:rPr>
                <w:rFonts w:ascii="Calibri" w:hAnsi="Calibri"/>
                <w:b/>
                <w:color w:val="FFFFFF"/>
                <w:sz w:val="18"/>
              </w:rPr>
              <w:t>Methodology</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2080" w:type="dxa"/>
            <w:vAlign w:val="center"/>
          </w:tcPr>
          <w:p>
            <w:pPr>
              <w:jc w:val="left"/>
              <w:spacing w:before="40" w:after="40"/>
            </w:pPr>
            <w:r/>
            <w:r>
              <w:rPr>
                <w:rFonts w:ascii="Calibri" w:hAnsi="Calibri"/>
                <w:b/>
                <w:color w:val="FFFFFF"/>
                <w:sz w:val="18"/>
              </w:rPr>
              <w:t>Bear</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2080" w:type="dxa"/>
            <w:vAlign w:val="center"/>
          </w:tcPr>
          <w:p>
            <w:pPr>
              <w:jc w:val="left"/>
              <w:spacing w:before="40" w:after="40"/>
            </w:pPr>
            <w:r/>
            <w:r>
              <w:rPr>
                <w:rFonts w:ascii="Calibri" w:hAnsi="Calibri"/>
                <w:b/>
                <w:color w:val="FFFFFF"/>
                <w:sz w:val="18"/>
              </w:rPr>
              <w:t>Base</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2075" w:type="dxa"/>
            <w:vAlign w:val="center"/>
          </w:tcPr>
          <w:p>
            <w:pPr>
              <w:jc w:val="left"/>
              <w:spacing w:before="40" w:after="40"/>
            </w:pPr>
            <w:r/>
            <w:r>
              <w:rPr>
                <w:rFonts w:ascii="Calibri" w:hAnsi="Calibri"/>
                <w:b/>
                <w:color w:val="FFFFFF"/>
                <w:sz w:val="18"/>
              </w:rPr>
              <w:t>Bull</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3118" w:type="dxa"/>
            <w:vAlign w:val="center"/>
          </w:tcPr>
          <w:p>
            <w:pPr>
              <w:jc w:val="left"/>
              <w:spacing w:before="40" w:after="40"/>
            </w:pPr>
            <w:r/>
            <w:r>
              <w:rPr>
                <w:rFonts w:ascii="Calibri" w:hAnsi="Calibri"/>
                <w:color w:val="1A1A2E"/>
                <w:sz w:val="18"/>
              </w:rPr>
              <w:t>DCF (Free Cash Flow)</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$179</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$218</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75" w:type="dxa"/>
            <w:vAlign w:val="center"/>
          </w:tcPr>
          <w:p>
            <w:pPr>
              <w:jc w:val="left"/>
              <w:spacing w:before="40" w:after="40"/>
            </w:pPr>
            <w:r/>
            <w:r>
              <w:rPr>
                <w:rFonts w:ascii="Calibri" w:hAnsi="Calibri"/>
                <w:color w:val="1A1A2E"/>
                <w:sz w:val="18"/>
              </w:rPr>
              <w:t>$266</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3118" w:type="dxa"/>
            <w:vAlign w:val="center"/>
          </w:tcPr>
          <w:p>
            <w:pPr>
              <w:jc w:val="left"/>
              <w:spacing w:before="40" w:after="40"/>
            </w:pPr>
            <w:r/>
            <w:r>
              <w:rPr>
                <w:rFonts w:ascii="Calibri" w:hAnsi="Calibri"/>
                <w:color w:val="1A1A2E"/>
                <w:sz w:val="18"/>
              </w:rPr>
              <w:t>EV/EBITDA Comps</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$196</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$229</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75" w:type="dxa"/>
            <w:vAlign w:val="center"/>
          </w:tcPr>
          <w:p>
            <w:pPr>
              <w:jc w:val="left"/>
              <w:spacing w:before="40" w:after="40"/>
            </w:pPr>
            <w:r/>
            <w:r>
              <w:rPr>
                <w:rFonts w:ascii="Calibri" w:hAnsi="Calibri"/>
                <w:color w:val="1A1A2E"/>
                <w:sz w:val="18"/>
              </w:rPr>
              <w:t>$262</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3118" w:type="dxa"/>
            <w:vAlign w:val="center"/>
          </w:tcPr>
          <w:p>
            <w:pPr>
              <w:jc w:val="left"/>
              <w:spacing w:before="40" w:after="40"/>
            </w:pPr>
            <w:r/>
            <w:r>
              <w:rPr>
                <w:rFonts w:ascii="Calibri" w:hAnsi="Calibri"/>
                <w:color w:val="1A1A2E"/>
                <w:sz w:val="18"/>
              </w:rPr>
              <w:t>P/E Comps</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$183</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$220</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75" w:type="dxa"/>
            <w:vAlign w:val="center"/>
          </w:tcPr>
          <w:p>
            <w:pPr>
              <w:jc w:val="left"/>
              <w:spacing w:before="40" w:after="40"/>
            </w:pPr>
            <w:r/>
            <w:r>
              <w:rPr>
                <w:rFonts w:ascii="Calibri" w:hAnsi="Calibri"/>
                <w:color w:val="1A1A2E"/>
                <w:sz w:val="18"/>
              </w:rPr>
              <w:t>$255</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3118" w:type="dxa"/>
            <w:vAlign w:val="center"/>
          </w:tcPr>
          <w:p>
            <w:pPr>
              <w:jc w:val="left"/>
              <w:spacing w:before="40" w:after="40"/>
            </w:pPr>
            <w:r/>
            <w:r>
              <w:rPr>
                <w:rFonts w:ascii="Calibri" w:hAnsi="Calibri"/>
                <w:color w:val="1A1A2E"/>
                <w:sz w:val="18"/>
              </w:rPr>
              <w:t>DDM (Dividend Discount)</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$168</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$194</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75" w:type="dxa"/>
            <w:vAlign w:val="center"/>
          </w:tcPr>
          <w:p>
            <w:pPr>
              <w:jc w:val="left"/>
              <w:spacing w:before="40" w:after="40"/>
            </w:pPr>
            <w:r/>
            <w:r>
              <w:rPr>
                <w:rFonts w:ascii="Calibri" w:hAnsi="Calibri"/>
                <w:color w:val="1A1A2E"/>
                <w:sz w:val="18"/>
              </w:rPr>
              <w:t>$222</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3118" w:type="dxa"/>
            <w:vAlign w:val="center"/>
          </w:tcPr>
          <w:p>
            <w:pPr>
              <w:jc w:val="left"/>
              <w:spacing w:before="40" w:after="40"/>
            </w:pPr>
            <w:r/>
            <w:r>
              <w:rPr>
                <w:rFonts w:ascii="Calibri" w:hAnsi="Calibri"/>
                <w:color w:val="1A1A2E"/>
                <w:sz w:val="18"/>
              </w:rPr>
              <w:t>SOTP (Segment NAV)</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$190</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$233</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75" w:type="dxa"/>
            <w:vAlign w:val="center"/>
          </w:tcPr>
          <w:p>
            <w:pPr>
              <w:jc w:val="left"/>
              <w:spacing w:before="40" w:after="40"/>
            </w:pPr>
            <w:r/>
            <w:r>
              <w:rPr>
                <w:rFonts w:ascii="Calibri" w:hAnsi="Calibri"/>
                <w:color w:val="1A1A2E"/>
                <w:sz w:val="18"/>
              </w:rPr>
              <w:t>$277</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3118" w:type="dxa"/>
            <w:vAlign w:val="center"/>
          </w:tcPr>
          <w:p>
            <w:pPr>
              <w:jc w:val="left"/>
              <w:spacing w:before="40" w:after="40"/>
            </w:pPr>
            <w:r/>
            <w:r>
              <w:rPr>
                <w:rFonts w:ascii="Calibri" w:hAnsi="Calibri"/>
                <w:color w:val="1A1A2E"/>
                <w:sz w:val="18"/>
              </w:rPr>
              <w:t>Blended Target (Prob-Weighted)</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$180.93 (25%)</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$217.98 (50%)</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075" w:type="dxa"/>
            <w:vAlign w:val="center"/>
          </w:tcPr>
          <w:p>
            <w:pPr>
              <w:jc w:val="left"/>
              <w:spacing w:before="40" w:after="40"/>
            </w:pPr>
            <w:r/>
            <w:r>
              <w:rPr>
                <w:rFonts w:ascii="Calibri" w:hAnsi="Calibri"/>
                <w:color w:val="1A1A2E"/>
                <w:sz w:val="18"/>
              </w:rPr>
              <w:t>$257.22 (25%)</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3118" w:type="dxa"/>
            <w:vAlign w:val="center"/>
          </w:tcPr>
          <w:p>
            <w:pPr>
              <w:jc w:val="left"/>
              <w:spacing w:before="40" w:after="40"/>
            </w:pPr>
            <w:r/>
            <w:r>
              <w:rPr>
                <w:rFonts w:ascii="Calibri" w:hAnsi="Calibri"/>
                <w:color w:val="1A1A2E"/>
                <w:sz w:val="18"/>
              </w:rPr>
              <w:t>12-Month Price Target</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80" w:type="dxa"/>
            <w:vAlign w:val="center"/>
          </w:tcPr>
          <w:p>
            <w:pPr>
              <w:jc w:val="left"/>
              <w:spacing w:before="40" w:after="40"/>
            </w:pPr>
            <w:r/>
            <w:r>
              <w:rPr>
                <w:rFonts w:ascii="Calibri" w:hAnsi="Calibri"/>
                <w:color w:val="1A1A2E"/>
                <w:sz w:val="18"/>
              </w:rPr>
              <w:t>USD 217.98</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075" w:type="dxa"/>
            <w:vAlign w:val="center"/>
          </w:tcPr>
          <w:p>
            <w:pPr>
              <w:jc w:val="left"/>
              <w:spacing w:before="40" w:after="40"/>
            </w:pPr>
            <w:r/>
            <w:r>
              <w:rPr>
                <w:rFonts w:ascii="Calibri" w:hAnsi="Calibri"/>
                <w:color w:val="1A1A2E"/>
                <w:sz w:val="18"/>
              </w:rPr>
              <w:t>—</w:t>
            </w:r>
          </w:p>
        </w:tc>
      </w:tr>
    </w:tbl>
    <w:p>
      <w:pPr>
        <w:spacing w:before="0" w:after="80"/>
      </w:pPr>
    </w:p>
    <w:p>
      <w:pPr>
        <w:pStyle w:val="Heading2"/>
        <w:jc w:val="left"/>
        <w:spacing w:before="120" w:after="60"/>
      </w:pPr>
      <w:r>
        <w:rPr>
          <w:rFonts w:ascii="Calibri" w:hAnsi="Calibri"/>
          <w:b/>
          <w:color w:val="1A5276"/>
          <w:sz w:val="26"/>
        </w:rPr>
        <w:t>Comparable Company Analysis</w:t>
      </w:r>
    </w:p>
    <w:tbl>
      <w:tblGrid>
        <w:gridCol w:w="2551"/>
        <w:gridCol w:w="1134"/>
        <w:gridCol w:w="1134"/>
        <w:gridCol w:w="1134"/>
        <w:gridCol w:w="1134"/>
        <w:gridCol w:w="1134"/>
        <w:gridCol w:w="1134"/>
      </w:tblGrid>
      <w:tblPr>
        <w:tblStyle w:val="TableGrid"/>
        <w:tblW w:type="auto" w:w="0"/>
        <w:jc w:val="left"/>
        <w:tblLook w:firstColumn="1" w:firstRow="1" w:lastColumn="0" w:lastRow="0" w:noHBand="0" w:noVBand="1" w:val="04A0"/>
      </w:tblPr>
      <w:tr>
        <w:tc>
          <w:tcPr>
            <w:tcW w:type="dxa" w:w="1440"/>
            <w:shd w:val="clear" w:color="auto" w:fill="0D2B4E"/>
            <w:tcBorders>
              <w:top w:val="single" w:sz="4" w:space="0" w:color="0D2B4E"/>
              <w:left w:val="single" w:sz="4" w:space="0" w:color="0D2B4E"/>
              <w:bottom w:val="single" w:sz="4" w:space="0" w:color="0D2B4E"/>
              <w:right w:val="single" w:sz="4" w:space="0" w:color="0D2B4E"/>
            </w:tcBorders>
            <w:tcW w:w="2551" w:type="dxa"/>
            <w:vAlign w:val="center"/>
          </w:tcPr>
          <w:p>
            <w:pPr>
              <w:jc w:val="left"/>
              <w:spacing w:before="40" w:after="40"/>
            </w:pPr>
            <w:r/>
            <w:r>
              <w:rPr>
                <w:rFonts w:ascii="Calibri" w:hAnsi="Calibri"/>
                <w:b/>
                <w:color w:val="FFFFFF"/>
                <w:sz w:val="18"/>
              </w:rPr>
              <w:t>Company</w:t>
            </w:r>
          </w:p>
        </w:tc>
        <w:tc>
          <w:tcPr>
            <w:tcW w:type="dxa" w:w="1440"/>
            <w:shd w:val="clear" w:color="auto" w:fill="0D2B4E"/>
            <w:tcBorders>
              <w:top w:val="single" w:sz="4" w:space="0" w:color="0D2B4E"/>
              <w:left w:val="single" w:sz="4" w:space="0" w:color="0D2B4E"/>
              <w:bottom w:val="single" w:sz="4" w:space="0" w:color="0D2B4E"/>
              <w:right w:val="single" w:sz="4" w:space="0" w:color="0D2B4E"/>
            </w:tcBorders>
            <w:tcW w:w="1134" w:type="dxa"/>
            <w:vAlign w:val="center"/>
          </w:tcPr>
          <w:p>
            <w:pPr>
              <w:jc w:val="left"/>
              <w:spacing w:before="40" w:after="40"/>
            </w:pPr>
            <w:r/>
            <w:r>
              <w:rPr>
                <w:rFonts w:ascii="Calibri" w:hAnsi="Calibri"/>
                <w:b/>
                <w:color w:val="FFFFFF"/>
                <w:sz w:val="18"/>
              </w:rPr>
              <w:t>Mkt Cap</w:t>
            </w:r>
          </w:p>
        </w:tc>
        <w:tc>
          <w:tcPr>
            <w:tcW w:type="dxa" w:w="1440"/>
            <w:shd w:val="clear" w:color="auto" w:fill="0D2B4E"/>
            <w:tcBorders>
              <w:top w:val="single" w:sz="4" w:space="0" w:color="0D2B4E"/>
              <w:left w:val="single" w:sz="4" w:space="0" w:color="0D2B4E"/>
              <w:bottom w:val="single" w:sz="4" w:space="0" w:color="0D2B4E"/>
              <w:right w:val="single" w:sz="4" w:space="0" w:color="0D2B4E"/>
            </w:tcBorders>
            <w:tcW w:w="1134" w:type="dxa"/>
            <w:vAlign w:val="center"/>
          </w:tcPr>
          <w:p>
            <w:pPr>
              <w:jc w:val="left"/>
              <w:spacing w:before="40" w:after="40"/>
            </w:pPr>
            <w:r/>
            <w:r>
              <w:rPr>
                <w:rFonts w:ascii="Calibri" w:hAnsi="Calibri"/>
                <w:b/>
                <w:color w:val="FFFFFF"/>
                <w:sz w:val="18"/>
              </w:rPr>
              <w:t>EV/EBITDA</w:t>
            </w:r>
          </w:p>
        </w:tc>
        <w:tc>
          <w:tcPr>
            <w:tcW w:type="dxa" w:w="1440"/>
            <w:shd w:val="clear" w:color="auto" w:fill="0D2B4E"/>
            <w:tcBorders>
              <w:top w:val="single" w:sz="4" w:space="0" w:color="0D2B4E"/>
              <w:left w:val="single" w:sz="4" w:space="0" w:color="0D2B4E"/>
              <w:bottom w:val="single" w:sz="4" w:space="0" w:color="0D2B4E"/>
              <w:right w:val="single" w:sz="4" w:space="0" w:color="0D2B4E"/>
            </w:tcBorders>
            <w:tcW w:w="1134" w:type="dxa"/>
            <w:vAlign w:val="center"/>
          </w:tcPr>
          <w:p>
            <w:pPr>
              <w:jc w:val="left"/>
              <w:spacing w:before="40" w:after="40"/>
            </w:pPr>
            <w:r/>
            <w:r>
              <w:rPr>
                <w:rFonts w:ascii="Calibri" w:hAnsi="Calibri"/>
                <w:b/>
                <w:color w:val="FFFFFF"/>
                <w:sz w:val="18"/>
              </w:rPr>
              <w:t>P/E</w:t>
            </w:r>
          </w:p>
        </w:tc>
        <w:tc>
          <w:tcPr>
            <w:tcW w:type="dxa" w:w="1440"/>
            <w:shd w:val="clear" w:color="auto" w:fill="0D2B4E"/>
            <w:tcBorders>
              <w:top w:val="single" w:sz="4" w:space="0" w:color="0D2B4E"/>
              <w:left w:val="single" w:sz="4" w:space="0" w:color="0D2B4E"/>
              <w:bottom w:val="single" w:sz="4" w:space="0" w:color="0D2B4E"/>
              <w:right w:val="single" w:sz="4" w:space="0" w:color="0D2B4E"/>
            </w:tcBorders>
            <w:tcW w:w="1134" w:type="dxa"/>
            <w:vAlign w:val="center"/>
          </w:tcPr>
          <w:p>
            <w:pPr>
              <w:jc w:val="left"/>
              <w:spacing w:before="40" w:after="40"/>
            </w:pPr>
            <w:r/>
            <w:r>
              <w:rPr>
                <w:rFonts w:ascii="Calibri" w:hAnsi="Calibri"/>
                <w:b/>
                <w:color w:val="FFFFFF"/>
                <w:sz w:val="18"/>
              </w:rPr>
              <w:t>Rev Gth</w:t>
            </w:r>
          </w:p>
        </w:tc>
        <w:tc>
          <w:tcPr>
            <w:tcW w:type="dxa" w:w="1440"/>
            <w:shd w:val="clear" w:color="auto" w:fill="0D2B4E"/>
            <w:tcBorders>
              <w:top w:val="single" w:sz="4" w:space="0" w:color="0D2B4E"/>
              <w:left w:val="single" w:sz="4" w:space="0" w:color="0D2B4E"/>
              <w:bottom w:val="single" w:sz="4" w:space="0" w:color="0D2B4E"/>
              <w:right w:val="single" w:sz="4" w:space="0" w:color="0D2B4E"/>
            </w:tcBorders>
            <w:tcW w:w="1134" w:type="dxa"/>
            <w:vAlign w:val="center"/>
          </w:tcPr>
          <w:p>
            <w:pPr>
              <w:jc w:val="left"/>
              <w:spacing w:before="40" w:after="40"/>
            </w:pPr>
            <w:r/>
            <w:r>
              <w:rPr>
                <w:rFonts w:ascii="Calibri" w:hAnsi="Calibri"/>
                <w:b/>
                <w:color w:val="FFFFFF"/>
                <w:sz w:val="18"/>
              </w:rPr>
              <w:t>EBIT Mgn</w:t>
            </w:r>
          </w:p>
        </w:tc>
        <w:tc>
          <w:tcPr>
            <w:tcW w:type="dxa" w:w="1440"/>
            <w:shd w:val="clear" w:color="auto" w:fill="0D2B4E"/>
            <w:tcBorders>
              <w:top w:val="single" w:sz="4" w:space="0" w:color="0D2B4E"/>
              <w:left w:val="single" w:sz="4" w:space="0" w:color="0D2B4E"/>
              <w:bottom w:val="single" w:sz="4" w:space="0" w:color="0D2B4E"/>
              <w:right w:val="single" w:sz="4" w:space="0" w:color="0D2B4E"/>
            </w:tcBorders>
            <w:tcW w:w="1134" w:type="dxa"/>
            <w:vAlign w:val="center"/>
          </w:tcPr>
          <w:p>
            <w:pPr>
              <w:jc w:val="left"/>
              <w:spacing w:before="40" w:after="40"/>
            </w:pPr>
            <w:r/>
            <w:r>
              <w:rPr>
                <w:rFonts w:ascii="Calibri" w:hAnsi="Calibri"/>
                <w:b/>
                <w:color w:val="FFFFFF"/>
                <w:sz w:val="18"/>
              </w:rPr>
              <w:t>ROIC</w:t>
            </w:r>
          </w:p>
        </w:tc>
      </w:tr>
      <w:tr>
        <w:tc>
          <w:tcPr>
            <w:tcW w:type="dxa" w:w="144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Apple Inc. (AAPL)</w:t>
            </w:r>
          </w:p>
        </w:tc>
        <w:tc>
          <w:tcPr>
            <w:tcW w:type="dxa" w:w="1440"/>
            <w:shd w:val="clear" w:color="auto" w:fill="FFFFFF"/>
            <w:tcBorders>
              <w:top w:val="single" w:sz="4" w:space="0" w:color="CCCCCC"/>
              <w:left w:val="single" w:sz="4" w:space="0" w:color="CCCCCC"/>
              <w:bottom w:val="single" w:sz="4" w:space="0" w:color="CCCCCC"/>
              <w:right w:val="single" w:sz="4" w:space="0" w:color="CCCCCC"/>
            </w:tcBorders>
            <w:tcW w:w="1134" w:type="dxa"/>
            <w:vAlign w:val="center"/>
          </w:tcPr>
          <w:p>
            <w:pPr>
              <w:jc w:val="left"/>
              <w:spacing w:before="40" w:after="40"/>
            </w:pPr>
            <w:r/>
            <w:r>
              <w:rPr>
                <w:rFonts w:ascii="Calibri" w:hAnsi="Calibri"/>
                <w:color w:val="1A1A2E"/>
                <w:sz w:val="18"/>
              </w:rPr>
              <w:t>$3.24T</w:t>
            </w:r>
          </w:p>
        </w:tc>
        <w:tc>
          <w:tcPr>
            <w:tcW w:type="dxa" w:w="1440"/>
            <w:shd w:val="clear" w:color="auto" w:fill="FFFFFF"/>
            <w:tcBorders>
              <w:top w:val="single" w:sz="4" w:space="0" w:color="CCCCCC"/>
              <w:left w:val="single" w:sz="4" w:space="0" w:color="CCCCCC"/>
              <w:bottom w:val="single" w:sz="4" w:space="0" w:color="CCCCCC"/>
              <w:right w:val="single" w:sz="4" w:space="0" w:color="CCCCCC"/>
            </w:tcBorders>
            <w:tcW w:w="1134" w:type="dxa"/>
            <w:vAlign w:val="center"/>
          </w:tcPr>
          <w:p>
            <w:pPr>
              <w:jc w:val="left"/>
              <w:spacing w:before="40" w:after="40"/>
            </w:pPr>
            <w:r/>
            <w:r>
              <w:rPr>
                <w:rFonts w:ascii="Calibri" w:hAnsi="Calibri"/>
                <w:color w:val="1A1A2E"/>
                <w:sz w:val="18"/>
              </w:rPr>
              <w:t>26.4x</w:t>
            </w:r>
          </w:p>
        </w:tc>
        <w:tc>
          <w:tcPr>
            <w:tcW w:type="dxa" w:w="1440"/>
            <w:shd w:val="clear" w:color="auto" w:fill="FFFFFF"/>
            <w:tcBorders>
              <w:top w:val="single" w:sz="4" w:space="0" w:color="CCCCCC"/>
              <w:left w:val="single" w:sz="4" w:space="0" w:color="CCCCCC"/>
              <w:bottom w:val="single" w:sz="4" w:space="0" w:color="CCCCCC"/>
              <w:right w:val="single" w:sz="4" w:space="0" w:color="CCCCCC"/>
            </w:tcBorders>
            <w:tcW w:w="1134" w:type="dxa"/>
            <w:vAlign w:val="center"/>
          </w:tcPr>
          <w:p>
            <w:pPr>
              <w:jc w:val="left"/>
              <w:spacing w:before="40" w:after="40"/>
            </w:pPr>
            <w:r/>
            <w:r>
              <w:rPr>
                <w:rFonts w:ascii="Calibri" w:hAnsi="Calibri"/>
                <w:color w:val="1A1A2E"/>
                <w:sz w:val="18"/>
              </w:rPr>
              <w:t>32.1x</w:t>
            </w:r>
          </w:p>
        </w:tc>
        <w:tc>
          <w:tcPr>
            <w:tcW w:type="dxa" w:w="1440"/>
            <w:shd w:val="clear" w:color="auto" w:fill="FFFFFF"/>
            <w:tcBorders>
              <w:top w:val="single" w:sz="4" w:space="0" w:color="CCCCCC"/>
              <w:left w:val="single" w:sz="4" w:space="0" w:color="CCCCCC"/>
              <w:bottom w:val="single" w:sz="4" w:space="0" w:color="CCCCCC"/>
              <w:right w:val="single" w:sz="4" w:space="0" w:color="CCCCCC"/>
            </w:tcBorders>
            <w:tcW w:w="1134" w:type="dxa"/>
            <w:vAlign w:val="center"/>
          </w:tcPr>
          <w:p>
            <w:pPr>
              <w:jc w:val="left"/>
              <w:spacing w:before="40" w:after="40"/>
            </w:pPr>
            <w:r/>
            <w:r>
              <w:rPr>
                <w:rFonts w:ascii="Calibri" w:hAnsi="Calibri"/>
                <w:color w:val="1A1A2E"/>
                <w:sz w:val="18"/>
              </w:rPr>
              <w:t>2.0%</w:t>
            </w:r>
          </w:p>
        </w:tc>
        <w:tc>
          <w:tcPr>
            <w:tcW w:type="dxa" w:w="1440"/>
            <w:shd w:val="clear" w:color="auto" w:fill="FFFFFF"/>
            <w:tcBorders>
              <w:top w:val="single" w:sz="4" w:space="0" w:color="CCCCCC"/>
              <w:left w:val="single" w:sz="4" w:space="0" w:color="CCCCCC"/>
              <w:bottom w:val="single" w:sz="4" w:space="0" w:color="CCCCCC"/>
              <w:right w:val="single" w:sz="4" w:space="0" w:color="CCCCCC"/>
            </w:tcBorders>
            <w:tcW w:w="1134" w:type="dxa"/>
            <w:vAlign w:val="center"/>
          </w:tcPr>
          <w:p>
            <w:pPr>
              <w:jc w:val="left"/>
              <w:spacing w:before="40" w:after="40"/>
            </w:pPr>
            <w:r/>
            <w:r>
              <w:rPr>
                <w:rFonts w:ascii="Calibri" w:hAnsi="Calibri"/>
                <w:color w:val="1A1A2E"/>
                <w:sz w:val="18"/>
              </w:rPr>
              <w:t>29.2%</w:t>
            </w:r>
          </w:p>
        </w:tc>
        <w:tc>
          <w:tcPr>
            <w:tcW w:type="dxa" w:w="1440"/>
            <w:shd w:val="clear" w:color="auto" w:fill="FFFFFF"/>
            <w:tcBorders>
              <w:top w:val="single" w:sz="4" w:space="0" w:color="CCCCCC"/>
              <w:left w:val="single" w:sz="4" w:space="0" w:color="CCCCCC"/>
              <w:bottom w:val="single" w:sz="4" w:space="0" w:color="CCCCCC"/>
              <w:right w:val="single" w:sz="4" w:space="0" w:color="CCCCCC"/>
            </w:tcBorders>
            <w:tcW w:w="1134" w:type="dxa"/>
            <w:vAlign w:val="center"/>
          </w:tcPr>
          <w:p>
            <w:pPr>
              <w:jc w:val="left"/>
              <w:spacing w:before="40" w:after="40"/>
            </w:pPr>
            <w:r/>
            <w:r>
              <w:rPr>
                <w:rFonts w:ascii="Calibri" w:hAnsi="Calibri"/>
                <w:color w:val="1A1A2E"/>
                <w:sz w:val="18"/>
              </w:rPr>
              <w:t>31.2%</w:t>
            </w:r>
          </w:p>
        </w:tc>
      </w:tr>
    </w:tbl>
    <w:p>
      <w:r>
        <w:br w:type="page"/>
      </w:r>
    </w:p>
    <w:p>
      <w:r>
        <w:br w:type="page"/>
      </w:r>
    </w:p>
    <w:p>
      <w:pPr>
        <w:pStyle w:val="Heading1"/>
        <w:jc w:val="left"/>
        <w:pBdr>
          <w:bottom w:val="single" w:sz="12" w:space="1" w:color="C4973A"/>
        </w:pBdr>
        <w:spacing w:before="160" w:after="80"/>
      </w:pPr>
      <w:r>
        <w:rPr>
          <w:rFonts w:ascii="Calibri" w:hAnsi="Calibri"/>
          <w:b/>
          <w:color w:val="0D2B4E"/>
          <w:sz w:val="32"/>
        </w:rPr>
        <w:t>AI Displacement &amp; Opportunity Analysis</w:t>
      </w:r>
    </w:p>
    <w:p>
      <w:pPr>
        <w:jc w:val="left"/>
        <w:spacing w:before="20" w:after="60" w:line="276" w:lineRule="auto"/>
      </w:pPr>
      <w:r>
        <w:rPr>
          <w:rFonts w:ascii="Calibri" w:hAnsi="Calibri"/>
          <w:i w:val="0"/>
          <w:color w:val="1A1A2E"/>
          <w:sz w:val="20"/>
        </w:rPr>
        <w:t>Apple Intelligence represents Apple's most significant platform transition since the App Store. We assess AI impact across all five segments, mapping both offensive opportunities and defensive threats across a 10-year horizon.</w:t>
      </w:r>
    </w:p>
    <w:p>
      <w:pPr>
        <w:spacing w:before="0" w:after="60"/>
      </w:pPr>
    </w:p>
    <w:p>
      <w:pPr>
        <w:pStyle w:val="Heading2"/>
        <w:jc w:val="left"/>
        <w:spacing w:before="120" w:after="60"/>
      </w:pPr>
      <w:r>
        <w:rPr>
          <w:rFonts w:ascii="Calibri" w:hAnsi="Calibri"/>
          <w:b/>
          <w:color w:val="1A5276"/>
          <w:sz w:val="26"/>
        </w:rPr>
        <w:t>Segment AI Impact Matrix</w:t>
      </w:r>
    </w:p>
    <w:p>
      <w:pPr>
        <w:spacing w:before="0" w:after="80"/>
      </w:pPr>
    </w:p>
    <w:p>
      <w:pPr>
        <w:pStyle w:val="Heading2"/>
        <w:jc w:val="left"/>
        <w:spacing w:before="120" w:after="60"/>
      </w:pPr>
      <w:r>
        <w:rPr>
          <w:rFonts w:ascii="Calibri" w:hAnsi="Calibri"/>
          <w:b/>
          <w:color w:val="1A5276"/>
          <w:sz w:val="26"/>
        </w:rPr>
        <w:t>AI Phase Timeline</w:t>
      </w:r>
    </w:p>
    <w:p>
      <w:pPr>
        <w:spacing w:before="0" w:after="80"/>
      </w:pPr>
    </w:p>
    <w:p>
      <w:pPr>
        <w:pStyle w:val="Heading2"/>
        <w:jc w:val="left"/>
        <w:spacing w:before="120" w:after="60"/>
      </w:pPr>
      <w:r>
        <w:rPr>
          <w:rFonts w:ascii="Calibri" w:hAnsi="Calibri"/>
          <w:b/>
          <w:color w:val="1A5276"/>
          <w:sz w:val="26"/>
        </w:rPr>
        <w:t>Competitive Threat Assessment</w:t>
      </w:r>
    </w:p>
    <w:p>
      <w:r>
        <w:br w:type="page"/>
      </w:r>
    </w:p>
    <w:p>
      <w:r>
        <w:br w:type="page"/>
      </w:r>
    </w:p>
    <w:p>
      <w:pPr>
        <w:pStyle w:val="Heading1"/>
        <w:jc w:val="left"/>
        <w:pBdr>
          <w:bottom w:val="single" w:sz="12" w:space="1" w:color="C4973A"/>
        </w:pBdr>
        <w:spacing w:before="160" w:after="80"/>
      </w:pPr>
      <w:r>
        <w:rPr>
          <w:rFonts w:ascii="Calibri" w:hAnsi="Calibri"/>
          <w:b/>
          <w:color w:val="0D2B4E"/>
          <w:sz w:val="32"/>
        </w:rPr>
        <w:t>Risk Analysis</w:t>
      </w:r>
    </w:p>
    <w:p>
      <w:pPr>
        <w:spacing w:before="0" w:after="80"/>
      </w:pPr>
    </w:p>
    <w:p>
      <w:pPr>
        <w:pStyle w:val="Heading2"/>
        <w:jc w:val="left"/>
        <w:spacing w:before="120" w:after="60"/>
      </w:pPr>
      <w:r>
        <w:rPr>
          <w:rFonts w:ascii="Calibri" w:hAnsi="Calibri"/>
          <w:b/>
          <w:color w:val="1A5276"/>
          <w:sz w:val="26"/>
        </w:rPr>
        <w:t>Bear Case Deep Dive</w:t>
      </w:r>
    </w:p>
    <w:p>
      <w:pPr>
        <w:jc w:val="left"/>
        <w:spacing w:before="20" w:after="60" w:line="276" w:lineRule="auto"/>
      </w:pPr>
      <w:r>
        <w:rPr>
          <w:rFonts w:ascii="Calibri" w:hAnsi="Calibri"/>
          <w:i w:val="0"/>
          <w:color w:val="1A1A2E"/>
          <w:sz w:val="20"/>
        </w:rPr>
        <w:t>Our bear case (weight: 25%, target USD 180.93) assumes: (1) China revenue declines 15% as Huawei regains domestic market share; (2) the Google search deal is renegotiated at 50% of current value, costing ~$9B in annual Services revenue; (3) iPhone 17 cycle disappoints with &lt;5% unit growth as AI features fail to drive meaningful upgrades; (4) EU DMA forces App Store fee reductions, compressing Services margins by 300bps. In this scenario, blended EPS falls to ~$5.40 and the stock de-rates to 28x P/E.</w:t>
      </w:r>
    </w:p>
    <w:p>
      <w:pPr>
        <w:spacing w:before="0" w:after="60"/>
      </w:pPr>
    </w:p>
    <w:p>
      <w:pPr>
        <w:pStyle w:val="Heading2"/>
        <w:jc w:val="left"/>
        <w:spacing w:before="120" w:after="60"/>
      </w:pPr>
      <w:r>
        <w:rPr>
          <w:rFonts w:ascii="Calibri" w:hAnsi="Calibri"/>
          <w:b/>
          <w:color w:val="1A5276"/>
          <w:sz w:val="26"/>
        </w:rPr>
        <w:t>Stress Scenario Analysis</w:t>
      </w:r>
    </w:p>
    <w:tbl>
      <w:tblGrid>
        <w:gridCol w:w="2551"/>
        <w:gridCol w:w="1417"/>
        <w:gridCol w:w="1134"/>
        <w:gridCol w:w="4252"/>
      </w:tblGrid>
      <w:tblPr>
        <w:tblStyle w:val="TableGrid"/>
        <w:tblW w:type="auto" w:w="0"/>
        <w:jc w:val="left"/>
        <w:tblLook w:firstColumn="1" w:firstRow="1" w:lastColumn="0" w:lastRow="0" w:noHBand="0" w:noVBand="1" w:val="04A0"/>
      </w:tblPr>
      <w:tr>
        <w:tc>
          <w:tcPr>
            <w:tcW w:type="dxa" w:w="2520"/>
            <w:shd w:val="clear" w:color="auto" w:fill="0D2B4E"/>
            <w:tcBorders>
              <w:top w:val="single" w:sz="4" w:space="0" w:color="0D2B4E"/>
              <w:left w:val="single" w:sz="4" w:space="0" w:color="0D2B4E"/>
              <w:bottom w:val="single" w:sz="4" w:space="0" w:color="0D2B4E"/>
              <w:right w:val="single" w:sz="4" w:space="0" w:color="0D2B4E"/>
            </w:tcBorders>
            <w:tcW w:w="2551" w:type="dxa"/>
            <w:vAlign w:val="center"/>
          </w:tcPr>
          <w:p>
            <w:pPr>
              <w:jc w:val="left"/>
              <w:spacing w:before="40" w:after="40"/>
            </w:pPr>
            <w:r/>
            <w:r>
              <w:rPr>
                <w:rFonts w:ascii="Calibri" w:hAnsi="Calibri"/>
                <w:b/>
                <w:color w:val="FFFFFF"/>
                <w:sz w:val="18"/>
              </w:rPr>
              <w:t>Scenario</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1417" w:type="dxa"/>
            <w:vAlign w:val="center"/>
          </w:tcPr>
          <w:p>
            <w:pPr>
              <w:jc w:val="left"/>
              <w:spacing w:before="40" w:after="40"/>
            </w:pPr>
            <w:r/>
            <w:r>
              <w:rPr>
                <w:rFonts w:ascii="Calibri" w:hAnsi="Calibri"/>
                <w:b/>
                <w:color w:val="FFFFFF"/>
                <w:sz w:val="18"/>
              </w:rPr>
              <w:t>Price Impact</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1134" w:type="dxa"/>
            <w:vAlign w:val="center"/>
          </w:tcPr>
          <w:p>
            <w:pPr>
              <w:jc w:val="left"/>
              <w:spacing w:before="40" w:after="40"/>
            </w:pPr>
            <w:r/>
            <w:r>
              <w:rPr>
                <w:rFonts w:ascii="Calibri" w:hAnsi="Calibri"/>
                <w:b/>
                <w:color w:val="FFFFFF"/>
                <w:sz w:val="18"/>
              </w:rPr>
              <w:t>Probability</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4252" w:type="dxa"/>
            <w:vAlign w:val="center"/>
          </w:tcPr>
          <w:p>
            <w:pPr>
              <w:jc w:val="left"/>
              <w:spacing w:before="40" w:after="40"/>
            </w:pPr>
            <w:r/>
            <w:r>
              <w:rPr>
                <w:rFonts w:ascii="Calibri" w:hAnsi="Calibri"/>
                <w:b/>
                <w:color w:val="FFFFFF"/>
                <w:sz w:val="18"/>
              </w:rPr>
              <w:t>Driver</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China tariff escalation</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1417" w:type="dxa"/>
            <w:vAlign w:val="center"/>
          </w:tcPr>
          <w:p>
            <w:pPr>
              <w:jc w:val="left"/>
              <w:spacing w:before="40" w:after="40"/>
            </w:pPr>
            <w:r/>
            <w:r>
              <w:rPr>
                <w:rFonts w:ascii="Calibri" w:hAnsi="Calibri"/>
                <w:color w:val="1A1A2E"/>
                <w:sz w:val="18"/>
              </w:rPr>
              <w:t>–18% to –25%</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1134" w:type="dxa"/>
            <w:vAlign w:val="center"/>
          </w:tcPr>
          <w:p>
            <w:pPr>
              <w:jc w:val="left"/>
              <w:spacing w:before="40" w:after="40"/>
            </w:pPr>
            <w:r/>
            <w:r>
              <w:rPr>
                <w:rFonts w:ascii="Calibri" w:hAnsi="Calibri"/>
                <w:color w:val="1A1A2E"/>
                <w:sz w:val="18"/>
              </w:rPr>
              <w:t>15%</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4252" w:type="dxa"/>
            <w:vAlign w:val="center"/>
          </w:tcPr>
          <w:p>
            <w:pPr>
              <w:jc w:val="left"/>
              <w:spacing w:before="40" w:after="40"/>
            </w:pPr>
            <w:r/>
            <w:r>
              <w:rPr>
                <w:rFonts w:ascii="Calibri" w:hAnsi="Calibri"/>
                <w:color w:val="1A1A2E"/>
                <w:sz w:val="18"/>
              </w:rPr>
              <w:t>Hardware COGS +8%; China revenue –20%</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Google TAC loss (AI search)</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1417" w:type="dxa"/>
            <w:vAlign w:val="center"/>
          </w:tcPr>
          <w:p>
            <w:pPr>
              <w:jc w:val="left"/>
              <w:spacing w:before="40" w:after="40"/>
            </w:pPr>
            <w:r/>
            <w:r>
              <w:rPr>
                <w:rFonts w:ascii="Calibri" w:hAnsi="Calibri"/>
                <w:color w:val="1A1A2E"/>
                <w:sz w:val="18"/>
              </w:rPr>
              <w:t>–12% to –18%</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1134" w:type="dxa"/>
            <w:vAlign w:val="center"/>
          </w:tcPr>
          <w:p>
            <w:pPr>
              <w:jc w:val="left"/>
              <w:spacing w:before="40" w:after="40"/>
            </w:pPr>
            <w:r/>
            <w:r>
              <w:rPr>
                <w:rFonts w:ascii="Calibri" w:hAnsi="Calibri"/>
                <w:color w:val="1A1A2E"/>
                <w:sz w:val="18"/>
              </w:rPr>
              <w:t>20%</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4252" w:type="dxa"/>
            <w:vAlign w:val="center"/>
          </w:tcPr>
          <w:p>
            <w:pPr>
              <w:jc w:val="left"/>
              <w:spacing w:before="40" w:after="40"/>
            </w:pPr>
            <w:r/>
            <w:r>
              <w:rPr>
                <w:rFonts w:ascii="Calibri" w:hAnsi="Calibri"/>
                <w:color w:val="1A1A2E"/>
                <w:sz w:val="18"/>
              </w:rPr>
              <w:t>Services revenue –$18B; EPS impact –$0.85</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AI commoditization risk</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1417" w:type="dxa"/>
            <w:vAlign w:val="center"/>
          </w:tcPr>
          <w:p>
            <w:pPr>
              <w:jc w:val="left"/>
              <w:spacing w:before="40" w:after="40"/>
            </w:pPr>
            <w:r/>
            <w:r>
              <w:rPr>
                <w:rFonts w:ascii="Calibri" w:hAnsi="Calibri"/>
                <w:color w:val="1A1A2E"/>
                <w:sz w:val="18"/>
              </w:rPr>
              <w:t>–8% to –15%</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1134" w:type="dxa"/>
            <w:vAlign w:val="center"/>
          </w:tcPr>
          <w:p>
            <w:pPr>
              <w:jc w:val="left"/>
              <w:spacing w:before="40" w:after="40"/>
            </w:pPr>
            <w:r/>
            <w:r>
              <w:rPr>
                <w:rFonts w:ascii="Calibri" w:hAnsi="Calibri"/>
                <w:color w:val="1A1A2E"/>
                <w:sz w:val="18"/>
              </w:rPr>
              <w:t>25%</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4252" w:type="dxa"/>
            <w:vAlign w:val="center"/>
          </w:tcPr>
          <w:p>
            <w:pPr>
              <w:jc w:val="left"/>
              <w:spacing w:before="40" w:after="40"/>
            </w:pPr>
            <w:r/>
            <w:r>
              <w:rPr>
                <w:rFonts w:ascii="Calibri" w:hAnsi="Calibri"/>
                <w:color w:val="1A1A2E"/>
                <w:sz w:val="18"/>
              </w:rPr>
              <w:t>Premium multiple compression to ~24x P/E</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Rate shock (+150bps)</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1417" w:type="dxa"/>
            <w:vAlign w:val="center"/>
          </w:tcPr>
          <w:p>
            <w:pPr>
              <w:jc w:val="left"/>
              <w:spacing w:before="40" w:after="40"/>
            </w:pPr>
            <w:r/>
            <w:r>
              <w:rPr>
                <w:rFonts w:ascii="Calibri" w:hAnsi="Calibri"/>
                <w:color w:val="1A1A2E"/>
                <w:sz w:val="18"/>
              </w:rPr>
              <w:t>–10% to –20%</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1134" w:type="dxa"/>
            <w:vAlign w:val="center"/>
          </w:tcPr>
          <w:p>
            <w:pPr>
              <w:jc w:val="left"/>
              <w:spacing w:before="40" w:after="40"/>
            </w:pPr>
            <w:r/>
            <w:r>
              <w:rPr>
                <w:rFonts w:ascii="Calibri" w:hAnsi="Calibri"/>
                <w:color w:val="1A1A2E"/>
                <w:sz w:val="18"/>
              </w:rPr>
              <w:t>10%</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4252" w:type="dxa"/>
            <w:vAlign w:val="center"/>
          </w:tcPr>
          <w:p>
            <w:pPr>
              <w:jc w:val="left"/>
              <w:spacing w:before="40" w:after="40"/>
            </w:pPr>
            <w:r/>
            <w:r>
              <w:rPr>
                <w:rFonts w:ascii="Calibri" w:hAnsi="Calibri"/>
                <w:color w:val="1A1A2E"/>
                <w:sz w:val="18"/>
              </w:rPr>
              <w:t>WACC rises to 9.7%; DCF target falls to ~$185</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Bull: AI supercycle (upside)</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1417" w:type="dxa"/>
            <w:vAlign w:val="center"/>
          </w:tcPr>
          <w:p>
            <w:pPr>
              <w:jc w:val="left"/>
              <w:spacing w:before="40" w:after="40"/>
            </w:pPr>
            <w:r/>
            <w:r>
              <w:rPr>
                <w:rFonts w:ascii="Calibri" w:hAnsi="Calibri"/>
                <w:color w:val="1A1A2E"/>
                <w:sz w:val="18"/>
              </w:rPr>
              <w:t>+20% to +35%</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1134" w:type="dxa"/>
            <w:vAlign w:val="center"/>
          </w:tcPr>
          <w:p>
            <w:pPr>
              <w:jc w:val="left"/>
              <w:spacing w:before="40" w:after="40"/>
            </w:pPr>
            <w:r/>
            <w:r>
              <w:rPr>
                <w:rFonts w:ascii="Calibri" w:hAnsi="Calibri"/>
                <w:color w:val="1A1A2E"/>
                <w:sz w:val="18"/>
              </w:rPr>
              <w:t>30%</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4252" w:type="dxa"/>
            <w:vAlign w:val="center"/>
          </w:tcPr>
          <w:p>
            <w:pPr>
              <w:jc w:val="left"/>
              <w:spacing w:before="40" w:after="40"/>
            </w:pPr>
            <w:r/>
            <w:r>
              <w:rPr>
                <w:rFonts w:ascii="Calibri" w:hAnsi="Calibri"/>
                <w:color w:val="1A1A2E"/>
                <w:sz w:val="18"/>
              </w:rPr>
              <w:t>Record iPhone 17 upgrade cycle; Services re-rate</w:t>
            </w:r>
          </w:p>
        </w:tc>
      </w:tr>
    </w:tbl>
    <w:p>
      <w:r>
        <w:br w:type="page"/>
      </w:r>
    </w:p>
    <w:p>
      <w:r>
        <w:br w:type="page"/>
      </w:r>
    </w:p>
    <w:p>
      <w:pPr>
        <w:pStyle w:val="Heading1"/>
        <w:jc w:val="left"/>
        <w:pBdr>
          <w:bottom w:val="single" w:sz="12" w:space="1" w:color="C4973A"/>
        </w:pBdr>
        <w:spacing w:before="160" w:after="80"/>
      </w:pPr>
      <w:r>
        <w:rPr>
          <w:rFonts w:ascii="Calibri" w:hAnsi="Calibri"/>
          <w:b/>
          <w:color w:val="0D2B4E"/>
          <w:sz w:val="32"/>
        </w:rPr>
        <w:t>Catalysts &amp; Price Target</w:t>
      </w:r>
    </w:p>
    <w:p>
      <w:pPr>
        <w:spacing w:before="0" w:after="80"/>
      </w:pPr>
    </w:p>
    <w:p>
      <w:pPr>
        <w:pStyle w:val="Heading2"/>
        <w:jc w:val="left"/>
        <w:spacing w:before="120" w:after="60"/>
      </w:pPr>
      <w:r>
        <w:rPr>
          <w:rFonts w:ascii="Calibri" w:hAnsi="Calibri"/>
          <w:b/>
          <w:color w:val="1A5276"/>
          <w:sz w:val="26"/>
        </w:rPr>
        <w:t>12-Month Price Target Summary</w:t>
      </w:r>
    </w:p>
    <w:tbl>
      <w:tblGrid>
        <w:gridCol w:w="2551"/>
        <w:gridCol w:w="2268"/>
        <w:gridCol w:w="2551"/>
        <w:gridCol w:w="1984"/>
      </w:tblGrid>
      <w:tblPr>
        <w:tblStyle w:val="TableGrid"/>
        <w:tblW w:type="auto" w:w="0"/>
        <w:jc w:val="left"/>
        <w:tblLook w:firstColumn="1" w:firstRow="1" w:lastColumn="0" w:lastRow="0" w:noHBand="0" w:noVBand="1" w:val="04A0"/>
      </w:tblPr>
      <w:tr>
        <w:tc>
          <w:tcPr>
            <w:tcW w:type="dxa" w:w="2520"/>
            <w:shd w:val="clear" w:color="auto" w:fill="0D2B4E"/>
            <w:tcBorders>
              <w:top w:val="single" w:sz="4" w:space="0" w:color="0D2B4E"/>
              <w:left w:val="single" w:sz="4" w:space="0" w:color="0D2B4E"/>
              <w:bottom w:val="single" w:sz="4" w:space="0" w:color="0D2B4E"/>
              <w:right w:val="single" w:sz="4" w:space="0" w:color="0D2B4E"/>
            </w:tcBorders>
            <w:tcW w:w="2551" w:type="dxa"/>
            <w:vAlign w:val="center"/>
          </w:tcPr>
          <w:p>
            <w:pPr>
              <w:jc w:val="left"/>
              <w:spacing w:before="40" w:after="40"/>
            </w:pPr>
            <w:r/>
            <w:r>
              <w:rPr>
                <w:rFonts w:ascii="Calibri" w:hAnsi="Calibri"/>
                <w:b/>
                <w:color w:val="FFFFFF"/>
                <w:sz w:val="18"/>
              </w:rPr>
              <w:t>Scenario</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2268" w:type="dxa"/>
            <w:vAlign w:val="center"/>
          </w:tcPr>
          <w:p>
            <w:pPr>
              <w:jc w:val="left"/>
              <w:spacing w:before="40" w:after="40"/>
            </w:pPr>
            <w:r/>
            <w:r>
              <w:rPr>
                <w:rFonts w:ascii="Calibri" w:hAnsi="Calibri"/>
                <w:b/>
                <w:color w:val="FFFFFF"/>
                <w:sz w:val="18"/>
              </w:rPr>
              <w:t>Target Price</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2551" w:type="dxa"/>
            <w:vAlign w:val="center"/>
          </w:tcPr>
          <w:p>
            <w:pPr>
              <w:jc w:val="left"/>
              <w:spacing w:before="40" w:after="40"/>
            </w:pPr>
            <w:r/>
            <w:r>
              <w:rPr>
                <w:rFonts w:ascii="Calibri" w:hAnsi="Calibri"/>
                <w:b/>
                <w:color w:val="FFFFFF"/>
                <w:sz w:val="18"/>
              </w:rPr>
              <w:t>Upside / Downside</w:t>
            </w:r>
          </w:p>
        </w:tc>
        <w:tc>
          <w:tcPr>
            <w:tcW w:type="dxa" w:w="2520"/>
            <w:shd w:val="clear" w:color="auto" w:fill="0D2B4E"/>
            <w:tcBorders>
              <w:top w:val="single" w:sz="4" w:space="0" w:color="0D2B4E"/>
              <w:left w:val="single" w:sz="4" w:space="0" w:color="0D2B4E"/>
              <w:bottom w:val="single" w:sz="4" w:space="0" w:color="0D2B4E"/>
              <w:right w:val="single" w:sz="4" w:space="0" w:color="0D2B4E"/>
            </w:tcBorders>
            <w:tcW w:w="1984" w:type="dxa"/>
            <w:vAlign w:val="center"/>
          </w:tcPr>
          <w:p>
            <w:pPr>
              <w:jc w:val="left"/>
              <w:spacing w:before="40" w:after="40"/>
            </w:pPr>
            <w:r/>
            <w:r>
              <w:rPr>
                <w:rFonts w:ascii="Calibri" w:hAnsi="Calibri"/>
                <w:b/>
                <w:color w:val="FFFFFF"/>
                <w:sz w:val="18"/>
              </w:rPr>
              <w:t>Weight</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Bear Case</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268" w:type="dxa"/>
            <w:vAlign w:val="center"/>
          </w:tcPr>
          <w:p>
            <w:pPr>
              <w:jc w:val="left"/>
              <w:spacing w:before="40" w:after="40"/>
            </w:pPr>
            <w:r/>
            <w:r>
              <w:rPr>
                <w:rFonts w:ascii="Calibri" w:hAnsi="Calibri"/>
                <w:color w:val="1A1A2E"/>
                <w:sz w:val="18"/>
              </w:rPr>
              <w:t>USD 180.93</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-15.1%</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1984" w:type="dxa"/>
            <w:vAlign w:val="center"/>
          </w:tcPr>
          <w:p>
            <w:pPr>
              <w:jc w:val="left"/>
              <w:spacing w:before="40" w:after="40"/>
            </w:pPr>
            <w:r/>
            <w:r>
              <w:rPr>
                <w:rFonts w:ascii="Calibri" w:hAnsi="Calibri"/>
                <w:color w:val="1A1A2E"/>
                <w:sz w:val="18"/>
              </w:rPr>
              <w:t>25%</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Base Case</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268" w:type="dxa"/>
            <w:vAlign w:val="center"/>
          </w:tcPr>
          <w:p>
            <w:pPr>
              <w:jc w:val="left"/>
              <w:spacing w:before="40" w:after="40"/>
            </w:pPr>
            <w:r/>
            <w:r>
              <w:rPr>
                <w:rFonts w:ascii="Calibri" w:hAnsi="Calibri"/>
                <w:color w:val="1A1A2E"/>
                <w:sz w:val="18"/>
              </w:rPr>
              <w:t>USD 217.98</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+2.3%</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1984" w:type="dxa"/>
            <w:vAlign w:val="center"/>
          </w:tcPr>
          <w:p>
            <w:pPr>
              <w:jc w:val="left"/>
              <w:spacing w:before="40" w:after="40"/>
            </w:pPr>
            <w:r/>
            <w:r>
              <w:rPr>
                <w:rFonts w:ascii="Calibri" w:hAnsi="Calibri"/>
                <w:color w:val="1A1A2E"/>
                <w:sz w:val="18"/>
              </w:rPr>
              <w:t>50%</w:t>
            </w:r>
          </w:p>
        </w:tc>
      </w:tr>
      <w:tr>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Bull Case</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268" w:type="dxa"/>
            <w:vAlign w:val="center"/>
          </w:tcPr>
          <w:p>
            <w:pPr>
              <w:jc w:val="left"/>
              <w:spacing w:before="40" w:after="40"/>
            </w:pPr>
            <w:r/>
            <w:r>
              <w:rPr>
                <w:rFonts w:ascii="Calibri" w:hAnsi="Calibri"/>
                <w:color w:val="1A1A2E"/>
                <w:sz w:val="18"/>
              </w:rPr>
              <w:t>USD 257.22</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+20.8%</w:t>
            </w:r>
          </w:p>
        </w:tc>
        <w:tc>
          <w:tcPr>
            <w:tcW w:type="dxa" w:w="2520"/>
            <w:shd w:val="clear" w:color="auto" w:fill="FFFFFF"/>
            <w:tcBorders>
              <w:top w:val="single" w:sz="4" w:space="0" w:color="CCCCCC"/>
              <w:left w:val="single" w:sz="4" w:space="0" w:color="CCCCCC"/>
              <w:bottom w:val="single" w:sz="4" w:space="0" w:color="CCCCCC"/>
              <w:right w:val="single" w:sz="4" w:space="0" w:color="CCCCCC"/>
            </w:tcBorders>
            <w:tcW w:w="1984" w:type="dxa"/>
            <w:vAlign w:val="center"/>
          </w:tcPr>
          <w:p>
            <w:pPr>
              <w:jc w:val="left"/>
              <w:spacing w:before="40" w:after="40"/>
            </w:pPr>
            <w:r/>
            <w:r>
              <w:rPr>
                <w:rFonts w:ascii="Calibri" w:hAnsi="Calibri"/>
                <w:color w:val="1A1A2E"/>
                <w:sz w:val="18"/>
              </w:rPr>
              <w:t>25%</w:t>
            </w:r>
          </w:p>
        </w:tc>
      </w:tr>
      <w:tr>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Prob-Weighted Target</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268" w:type="dxa"/>
            <w:vAlign w:val="center"/>
          </w:tcPr>
          <w:p>
            <w:pPr>
              <w:jc w:val="left"/>
              <w:spacing w:before="40" w:after="40"/>
            </w:pPr>
            <w:r/>
            <w:r>
              <w:rPr>
                <w:rFonts w:ascii="Calibri" w:hAnsi="Calibri"/>
                <w:color w:val="1A1A2E"/>
                <w:sz w:val="18"/>
              </w:rPr>
              <w:t>USD 217.98</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2551" w:type="dxa"/>
            <w:vAlign w:val="center"/>
          </w:tcPr>
          <w:p>
            <w:pPr>
              <w:jc w:val="left"/>
              <w:spacing w:before="40" w:after="40"/>
            </w:pPr>
            <w:r/>
            <w:r>
              <w:rPr>
                <w:rFonts w:ascii="Calibri" w:hAnsi="Calibri"/>
                <w:color w:val="1A1A2E"/>
                <w:sz w:val="18"/>
              </w:rPr>
              <w:t>+2.3%</w:t>
            </w:r>
          </w:p>
        </w:tc>
        <w:tc>
          <w:tcPr>
            <w:tcW w:type="dxa" w:w="2520"/>
            <w:shd w:val="clear" w:color="auto" w:fill="F4F6F9"/>
            <w:tcBorders>
              <w:top w:val="single" w:sz="4" w:space="0" w:color="CCCCCC"/>
              <w:left w:val="single" w:sz="4" w:space="0" w:color="CCCCCC"/>
              <w:bottom w:val="single" w:sz="4" w:space="0" w:color="CCCCCC"/>
              <w:right w:val="single" w:sz="4" w:space="0" w:color="CCCCCC"/>
            </w:tcBorders>
            <w:tcW w:w="1984" w:type="dxa"/>
            <w:vAlign w:val="center"/>
          </w:tcPr>
          <w:p>
            <w:pPr>
              <w:jc w:val="left"/>
              <w:spacing w:before="40" w:after="40"/>
            </w:pPr>
            <w:r/>
            <w:r>
              <w:rPr>
                <w:rFonts w:ascii="Calibri" w:hAnsi="Calibri"/>
                <w:color w:val="1A1A2E"/>
                <w:sz w:val="18"/>
              </w:rPr>
              <w:t>—</w:t>
            </w:r>
          </w:p>
        </w:tc>
      </w:tr>
    </w:tbl>
    <w:p>
      <w:pPr>
        <w:spacing w:before="0" w:after="80"/>
      </w:pPr>
    </w:p>
    <w:p>
      <w:pPr>
        <w:pStyle w:val="Heading2"/>
        <w:jc w:val="left"/>
        <w:spacing w:before="120" w:after="60"/>
      </w:pPr>
      <w:r>
        <w:rPr>
          <w:rFonts w:ascii="Calibri" w:hAnsi="Calibri"/>
          <w:b/>
          <w:color w:val="1A5276"/>
          <w:sz w:val="26"/>
        </w:rPr>
        <w:t>Rating Rationale</w:t>
      </w:r>
    </w:p>
    <w:p>
      <w:pPr>
        <w:jc w:val="left"/>
        <w:spacing w:before="20" w:after="60" w:line="276" w:lineRule="auto"/>
      </w:pPr>
      <w:r>
        <w:rPr>
          <w:rFonts w:ascii="Calibri" w:hAnsi="Calibri"/>
          <w:i w:val="0"/>
          <w:color w:val="1A1A2E"/>
          <w:sz w:val="20"/>
        </w:rPr>
        <w:t>We initiate coverage of Apple Inc. with a HOLD  (+2% vs. base target) rating and a 12-month price target of USD 217.98. Apple Inc. is a world-class business, but at current multiples we believe the stock is fairly valued. The near-term iPhone 17 catalyst and Services acceleration are already partly reflected in the price. We would look to upgrade on a pullback below USD 196 or downgrade on a sustained rally above USD 240. Key upside risk: faster AI monetisation in Services. Key downside risk: Google TAC disruption or China deterioration.</w:t>
      </w:r>
    </w:p>
    <w:p>
      <w:r>
        <w:br w:type="page"/>
      </w:r>
    </w:p>
    <w:p>
      <w:r>
        <w:br w:type="page"/>
      </w:r>
    </w:p>
    <w:p>
      <w:pPr>
        <w:pStyle w:val="Heading1"/>
        <w:jc w:val="left"/>
        <w:pBdr>
          <w:bottom w:val="single" w:sz="12" w:space="1" w:color="C4973A"/>
        </w:pBdr>
        <w:spacing w:before="160" w:after="80"/>
      </w:pPr>
      <w:r>
        <w:rPr>
          <w:rFonts w:ascii="Calibri" w:hAnsi="Calibri"/>
          <w:b/>
          <w:color w:val="0D2B4E"/>
          <w:sz w:val="32"/>
        </w:rPr>
        <w:t>Disclosures &amp; Methodology</w:t>
      </w:r>
    </w:p>
    <w:p>
      <w:pPr>
        <w:pStyle w:val="Heading2"/>
        <w:jc w:val="left"/>
        <w:spacing w:before="120" w:after="60"/>
      </w:pPr>
      <w:r>
        <w:rPr>
          <w:rFonts w:ascii="Calibri" w:hAnsi="Calibri"/>
          <w:b/>
          <w:color w:val="1A5276"/>
          <w:sz w:val="26"/>
        </w:rPr>
        <w:t>Valuation Methodology</w:t>
      </w:r>
    </w:p>
    <w:p>
      <w:pPr>
        <w:jc w:val="left"/>
        <w:spacing w:before="20" w:after="60" w:line="276" w:lineRule="auto"/>
      </w:pPr>
      <w:r>
        <w:rPr>
          <w:rFonts w:ascii="Calibri" w:hAnsi="Calibri"/>
          <w:i w:val="0"/>
          <w:color w:val="1A1A2E"/>
          <w:sz w:val="20"/>
        </w:rPr>
        <w:t>Our 12-month price target is derived from a probability-weighted blend of five methodologies: Discounted Cash Flow (5-year explicit FCF period, terminal value via Gordon Growth Model), EV/EBITDA comparable company analysis, P/E comparable company analysis, Dividend Discount Model, and Sum-of-the-Parts segment NAV. Scenario weights: Bear 25% / Base 50% / Bull 25%.</w:t>
      </w:r>
    </w:p>
    <w:p>
      <w:pPr>
        <w:spacing w:before="0" w:after="60"/>
      </w:pPr>
    </w:p>
    <w:p>
      <w:pPr>
        <w:pStyle w:val="Heading2"/>
        <w:jc w:val="left"/>
        <w:spacing w:before="120" w:after="60"/>
      </w:pPr>
      <w:r>
        <w:rPr>
          <w:rFonts w:ascii="Calibri" w:hAnsi="Calibri"/>
          <w:b/>
          <w:color w:val="1A5276"/>
          <w:sz w:val="26"/>
        </w:rPr>
        <w:t>Key Model Assumptions</w:t>
      </w:r>
    </w:p>
    <w:tbl>
      <w:tblGrid>
        <w:gridCol w:w="4819"/>
        <w:gridCol w:w="4536"/>
      </w:tblGrid>
      <w:tblPr>
        <w:tblStyle w:val="TableGrid"/>
        <w:tblW w:type="auto" w:w="0"/>
        <w:jc w:val="left"/>
        <w:tblLook w:firstColumn="1" w:firstRow="1" w:lastColumn="0" w:lastRow="0" w:noHBand="0" w:noVBand="1" w:val="04A0"/>
      </w:tblPr>
      <w:tr>
        <w:tc>
          <w:tcPr>
            <w:tcW w:type="dxa" w:w="5040"/>
            <w:shd w:val="clear" w:color="auto" w:fill="0D2B4E"/>
            <w:tcBorders>
              <w:top w:val="single" w:sz="4" w:space="0" w:color="0D2B4E"/>
              <w:left w:val="single" w:sz="4" w:space="0" w:color="0D2B4E"/>
              <w:bottom w:val="single" w:sz="4" w:space="0" w:color="0D2B4E"/>
              <w:right w:val="single" w:sz="4" w:space="0" w:color="0D2B4E"/>
            </w:tcBorders>
            <w:tcW w:w="4819" w:type="dxa"/>
            <w:vAlign w:val="center"/>
          </w:tcPr>
          <w:p>
            <w:pPr>
              <w:jc w:val="left"/>
              <w:spacing w:before="40" w:after="40"/>
            </w:pPr>
            <w:r/>
            <w:r>
              <w:rPr>
                <w:rFonts w:ascii="Calibri" w:hAnsi="Calibri"/>
                <w:b/>
                <w:color w:val="FFFFFF"/>
                <w:sz w:val="18"/>
              </w:rPr>
              <w:t>Parameter</w:t>
            </w:r>
          </w:p>
        </w:tc>
        <w:tc>
          <w:tcPr>
            <w:tcW w:type="dxa" w:w="5040"/>
            <w:shd w:val="clear" w:color="auto" w:fill="0D2B4E"/>
            <w:tcBorders>
              <w:top w:val="single" w:sz="4" w:space="0" w:color="0D2B4E"/>
              <w:left w:val="single" w:sz="4" w:space="0" w:color="0D2B4E"/>
              <w:bottom w:val="single" w:sz="4" w:space="0" w:color="0D2B4E"/>
              <w:right w:val="single" w:sz="4" w:space="0" w:color="0D2B4E"/>
            </w:tcBorders>
            <w:tcW w:w="4536" w:type="dxa"/>
            <w:vAlign w:val="center"/>
          </w:tcPr>
          <w:p>
            <w:pPr>
              <w:jc w:val="left"/>
              <w:spacing w:before="40" w:after="40"/>
            </w:pPr>
            <w:r/>
            <w:r>
              <w:rPr>
                <w:rFonts w:ascii="Calibri" w:hAnsi="Calibri"/>
                <w:b/>
                <w:color w:val="FFFFFF"/>
                <w:sz w:val="18"/>
              </w:rPr>
              <w:t>Value</w:t>
            </w:r>
          </w:p>
        </w:tc>
      </w:tr>
      <w:tr>
        <w:tc>
          <w:tcPr>
            <w:tcW w:type="dxa" w:w="5040"/>
            <w:shd w:val="clear" w:color="auto" w:fill="FFFFFF"/>
            <w:tcBorders>
              <w:top w:val="single" w:sz="4" w:space="0" w:color="CCCCCC"/>
              <w:left w:val="single" w:sz="4" w:space="0" w:color="CCCCCC"/>
              <w:bottom w:val="single" w:sz="4" w:space="0" w:color="CCCCCC"/>
              <w:right w:val="single" w:sz="4" w:space="0" w:color="CCCCCC"/>
            </w:tcBorders>
            <w:tcW w:w="4819" w:type="dxa"/>
            <w:vAlign w:val="center"/>
          </w:tcPr>
          <w:p>
            <w:pPr>
              <w:jc w:val="left"/>
              <w:spacing w:before="40" w:after="40"/>
            </w:pPr>
            <w:r/>
            <w:r>
              <w:rPr>
                <w:rFonts w:ascii="Calibri" w:hAnsi="Calibri"/>
                <w:color w:val="1A1A2E"/>
                <w:sz w:val="18"/>
              </w:rPr>
              <w:t>WACC (Base Case)</w:t>
            </w:r>
          </w:p>
        </w:tc>
        <w:tc>
          <w:tcPr>
            <w:tcW w:type="dxa" w:w="5040"/>
            <w:shd w:val="clear" w:color="auto" w:fill="FFFFFF"/>
            <w:tcBorders>
              <w:top w:val="single" w:sz="4" w:space="0" w:color="CCCCCC"/>
              <w:left w:val="single" w:sz="4" w:space="0" w:color="CCCCCC"/>
              <w:bottom w:val="single" w:sz="4" w:space="0" w:color="CCCCCC"/>
              <w:right w:val="single" w:sz="4" w:space="0" w:color="CCCCCC"/>
            </w:tcBorders>
            <w:tcW w:w="4536" w:type="dxa"/>
            <w:vAlign w:val="center"/>
          </w:tcPr>
          <w:p>
            <w:pPr>
              <w:jc w:val="left"/>
              <w:spacing w:before="40" w:after="40"/>
            </w:pPr>
            <w:r/>
            <w:r>
              <w:rPr>
                <w:rFonts w:ascii="Calibri" w:hAnsi="Calibri"/>
                <w:color w:val="1A1A2E"/>
                <w:sz w:val="18"/>
              </w:rPr>
              <w:t>8.20%</w:t>
            </w:r>
          </w:p>
        </w:tc>
      </w:tr>
      <w:tr>
        <w:tc>
          <w:tcPr>
            <w:tcW w:type="dxa" w:w="5040"/>
            <w:shd w:val="clear" w:color="auto" w:fill="F4F6F9"/>
            <w:tcBorders>
              <w:top w:val="single" w:sz="4" w:space="0" w:color="CCCCCC"/>
              <w:left w:val="single" w:sz="4" w:space="0" w:color="CCCCCC"/>
              <w:bottom w:val="single" w:sz="4" w:space="0" w:color="CCCCCC"/>
              <w:right w:val="single" w:sz="4" w:space="0" w:color="CCCCCC"/>
            </w:tcBorders>
            <w:tcW w:w="4819" w:type="dxa"/>
            <w:vAlign w:val="center"/>
          </w:tcPr>
          <w:p>
            <w:pPr>
              <w:jc w:val="left"/>
              <w:spacing w:before="40" w:after="40"/>
            </w:pPr>
            <w:r/>
            <w:r>
              <w:rPr>
                <w:rFonts w:ascii="Calibri" w:hAnsi="Calibri"/>
                <w:color w:val="1A1A2E"/>
                <w:sz w:val="18"/>
              </w:rPr>
              <w:t>Terminal Growth Rate</w:t>
            </w:r>
          </w:p>
        </w:tc>
        <w:tc>
          <w:tcPr>
            <w:tcW w:type="dxa" w:w="5040"/>
            <w:shd w:val="clear" w:color="auto" w:fill="F4F6F9"/>
            <w:tcBorders>
              <w:top w:val="single" w:sz="4" w:space="0" w:color="CCCCCC"/>
              <w:left w:val="single" w:sz="4" w:space="0" w:color="CCCCCC"/>
              <w:bottom w:val="single" w:sz="4" w:space="0" w:color="CCCCCC"/>
              <w:right w:val="single" w:sz="4" w:space="0" w:color="CCCCCC"/>
            </w:tcBorders>
            <w:tcW w:w="4536" w:type="dxa"/>
            <w:vAlign w:val="center"/>
          </w:tcPr>
          <w:p>
            <w:pPr>
              <w:jc w:val="left"/>
              <w:spacing w:before="40" w:after="40"/>
            </w:pPr>
            <w:r/>
            <w:r>
              <w:rPr>
                <w:rFonts w:ascii="Calibri" w:hAnsi="Calibri"/>
                <w:color w:val="1A1A2E"/>
                <w:sz w:val="18"/>
              </w:rPr>
              <w:t>3.00%</w:t>
            </w:r>
          </w:p>
        </w:tc>
      </w:tr>
      <w:tr>
        <w:tc>
          <w:tcPr>
            <w:tcW w:type="dxa" w:w="5040"/>
            <w:shd w:val="clear" w:color="auto" w:fill="FFFFFF"/>
            <w:tcBorders>
              <w:top w:val="single" w:sz="4" w:space="0" w:color="CCCCCC"/>
              <w:left w:val="single" w:sz="4" w:space="0" w:color="CCCCCC"/>
              <w:bottom w:val="single" w:sz="4" w:space="0" w:color="CCCCCC"/>
              <w:right w:val="single" w:sz="4" w:space="0" w:color="CCCCCC"/>
            </w:tcBorders>
            <w:tcW w:w="4819" w:type="dxa"/>
            <w:vAlign w:val="center"/>
          </w:tcPr>
          <w:p>
            <w:pPr>
              <w:jc w:val="left"/>
              <w:spacing w:before="40" w:after="40"/>
            </w:pPr>
            <w:r/>
            <w:r>
              <w:rPr>
                <w:rFonts w:ascii="Calibri" w:hAnsi="Calibri"/>
                <w:color w:val="1A1A2E"/>
                <w:sz w:val="18"/>
              </w:rPr>
              <w:t>Revenue Growth Y1–Y3</w:t>
            </w:r>
          </w:p>
        </w:tc>
        <w:tc>
          <w:tcPr>
            <w:tcW w:type="dxa" w:w="5040"/>
            <w:shd w:val="clear" w:color="auto" w:fill="FFFFFF"/>
            <w:tcBorders>
              <w:top w:val="single" w:sz="4" w:space="0" w:color="CCCCCC"/>
              <w:left w:val="single" w:sz="4" w:space="0" w:color="CCCCCC"/>
              <w:bottom w:val="single" w:sz="4" w:space="0" w:color="CCCCCC"/>
              <w:right w:val="single" w:sz="4" w:space="0" w:color="CCCCCC"/>
            </w:tcBorders>
            <w:tcW w:w="4536" w:type="dxa"/>
            <w:vAlign w:val="center"/>
          </w:tcPr>
          <w:p>
            <w:pPr>
              <w:jc w:val="left"/>
              <w:spacing w:before="40" w:after="40"/>
            </w:pPr>
            <w:r/>
            <w:r>
              <w:rPr>
                <w:rFonts w:ascii="Calibri" w:hAnsi="Calibri"/>
                <w:color w:val="1A1A2E"/>
                <w:sz w:val="18"/>
              </w:rPr>
              <w:t>0.0%</w:t>
            </w:r>
          </w:p>
        </w:tc>
      </w:tr>
      <w:tr>
        <w:tc>
          <w:tcPr>
            <w:tcW w:type="dxa" w:w="5040"/>
            <w:shd w:val="clear" w:color="auto" w:fill="F4F6F9"/>
            <w:tcBorders>
              <w:top w:val="single" w:sz="4" w:space="0" w:color="CCCCCC"/>
              <w:left w:val="single" w:sz="4" w:space="0" w:color="CCCCCC"/>
              <w:bottom w:val="single" w:sz="4" w:space="0" w:color="CCCCCC"/>
              <w:right w:val="single" w:sz="4" w:space="0" w:color="CCCCCC"/>
            </w:tcBorders>
            <w:tcW w:w="4819" w:type="dxa"/>
            <w:vAlign w:val="center"/>
          </w:tcPr>
          <w:p>
            <w:pPr>
              <w:jc w:val="left"/>
              <w:spacing w:before="40" w:after="40"/>
            </w:pPr>
            <w:r/>
            <w:r>
              <w:rPr>
                <w:rFonts w:ascii="Calibri" w:hAnsi="Calibri"/>
                <w:color w:val="1A1A2E"/>
                <w:sz w:val="18"/>
              </w:rPr>
              <w:t>Revenue Growth Y4–Y5</w:t>
            </w:r>
          </w:p>
        </w:tc>
        <w:tc>
          <w:tcPr>
            <w:tcW w:type="dxa" w:w="5040"/>
            <w:shd w:val="clear" w:color="auto" w:fill="F4F6F9"/>
            <w:tcBorders>
              <w:top w:val="single" w:sz="4" w:space="0" w:color="CCCCCC"/>
              <w:left w:val="single" w:sz="4" w:space="0" w:color="CCCCCC"/>
              <w:bottom w:val="single" w:sz="4" w:space="0" w:color="CCCCCC"/>
              <w:right w:val="single" w:sz="4" w:space="0" w:color="CCCCCC"/>
            </w:tcBorders>
            <w:tcW w:w="4536" w:type="dxa"/>
            <w:vAlign w:val="center"/>
          </w:tcPr>
          <w:p>
            <w:pPr>
              <w:jc w:val="left"/>
              <w:spacing w:before="40" w:after="40"/>
            </w:pPr>
            <w:r/>
            <w:r>
              <w:rPr>
                <w:rFonts w:ascii="Calibri" w:hAnsi="Calibri"/>
                <w:color w:val="1A1A2E"/>
                <w:sz w:val="18"/>
              </w:rPr>
              <w:t>0.0%</w:t>
            </w:r>
          </w:p>
        </w:tc>
      </w:tr>
      <w:tr>
        <w:tc>
          <w:tcPr>
            <w:tcW w:type="dxa" w:w="5040"/>
            <w:shd w:val="clear" w:color="auto" w:fill="FFFFFF"/>
            <w:tcBorders>
              <w:top w:val="single" w:sz="4" w:space="0" w:color="CCCCCC"/>
              <w:left w:val="single" w:sz="4" w:space="0" w:color="CCCCCC"/>
              <w:bottom w:val="single" w:sz="4" w:space="0" w:color="CCCCCC"/>
              <w:right w:val="single" w:sz="4" w:space="0" w:color="CCCCCC"/>
            </w:tcBorders>
            <w:tcW w:w="4819" w:type="dxa"/>
            <w:vAlign w:val="center"/>
          </w:tcPr>
          <w:p>
            <w:pPr>
              <w:jc w:val="left"/>
              <w:spacing w:before="40" w:after="40"/>
            </w:pPr>
            <w:r/>
            <w:r>
              <w:rPr>
                <w:rFonts w:ascii="Calibri" w:hAnsi="Calibri"/>
                <w:color w:val="1A1A2E"/>
                <w:sz w:val="18"/>
              </w:rPr>
              <w:t>EBIT Margin (Base)</w:t>
            </w:r>
          </w:p>
        </w:tc>
        <w:tc>
          <w:tcPr>
            <w:tcW w:type="dxa" w:w="5040"/>
            <w:shd w:val="clear" w:color="auto" w:fill="FFFFFF"/>
            <w:tcBorders>
              <w:top w:val="single" w:sz="4" w:space="0" w:color="CCCCCC"/>
              <w:left w:val="single" w:sz="4" w:space="0" w:color="CCCCCC"/>
              <w:bottom w:val="single" w:sz="4" w:space="0" w:color="CCCCCC"/>
              <w:right w:val="single" w:sz="4" w:space="0" w:color="CCCCCC"/>
            </w:tcBorders>
            <w:tcW w:w="4536" w:type="dxa"/>
            <w:vAlign w:val="center"/>
          </w:tcPr>
          <w:p>
            <w:pPr>
              <w:jc w:val="left"/>
              <w:spacing w:before="40" w:after="40"/>
            </w:pPr>
            <w:r/>
            <w:r>
              <w:rPr>
                <w:rFonts w:ascii="Calibri" w:hAnsi="Calibri"/>
                <w:color w:val="1A1A2E"/>
                <w:sz w:val="18"/>
              </w:rPr>
              <w:t>29.5%</w:t>
            </w:r>
          </w:p>
        </w:tc>
      </w:tr>
      <w:tr>
        <w:tc>
          <w:tcPr>
            <w:tcW w:type="dxa" w:w="5040"/>
            <w:shd w:val="clear" w:color="auto" w:fill="F4F6F9"/>
            <w:tcBorders>
              <w:top w:val="single" w:sz="4" w:space="0" w:color="CCCCCC"/>
              <w:left w:val="single" w:sz="4" w:space="0" w:color="CCCCCC"/>
              <w:bottom w:val="single" w:sz="4" w:space="0" w:color="CCCCCC"/>
              <w:right w:val="single" w:sz="4" w:space="0" w:color="CCCCCC"/>
            </w:tcBorders>
            <w:tcW w:w="4819" w:type="dxa"/>
            <w:vAlign w:val="center"/>
          </w:tcPr>
          <w:p>
            <w:pPr>
              <w:jc w:val="left"/>
              <w:spacing w:before="40" w:after="40"/>
            </w:pPr>
            <w:r/>
            <w:r>
              <w:rPr>
                <w:rFonts w:ascii="Calibri" w:hAnsi="Calibri"/>
                <w:color w:val="1A1A2E"/>
                <w:sz w:val="18"/>
              </w:rPr>
              <w:t>CapEx (% Revenue)</w:t>
            </w:r>
          </w:p>
        </w:tc>
        <w:tc>
          <w:tcPr>
            <w:tcW w:type="dxa" w:w="5040"/>
            <w:shd w:val="clear" w:color="auto" w:fill="F4F6F9"/>
            <w:tcBorders>
              <w:top w:val="single" w:sz="4" w:space="0" w:color="CCCCCC"/>
              <w:left w:val="single" w:sz="4" w:space="0" w:color="CCCCCC"/>
              <w:bottom w:val="single" w:sz="4" w:space="0" w:color="CCCCCC"/>
              <w:right w:val="single" w:sz="4" w:space="0" w:color="CCCCCC"/>
            </w:tcBorders>
            <w:tcW w:w="4536" w:type="dxa"/>
            <w:vAlign w:val="center"/>
          </w:tcPr>
          <w:p>
            <w:pPr>
              <w:jc w:val="left"/>
              <w:spacing w:before="40" w:after="40"/>
            </w:pPr>
            <w:r/>
            <w:r>
              <w:rPr>
                <w:rFonts w:ascii="Calibri" w:hAnsi="Calibri"/>
                <w:color w:val="1A1A2E"/>
                <w:sz w:val="18"/>
              </w:rPr>
              <w:t>2.4%</w:t>
            </w:r>
          </w:p>
        </w:tc>
      </w:tr>
      <w:tr>
        <w:tc>
          <w:tcPr>
            <w:tcW w:type="dxa" w:w="5040"/>
            <w:shd w:val="clear" w:color="auto" w:fill="FFFFFF"/>
            <w:tcBorders>
              <w:top w:val="single" w:sz="4" w:space="0" w:color="CCCCCC"/>
              <w:left w:val="single" w:sz="4" w:space="0" w:color="CCCCCC"/>
              <w:bottom w:val="single" w:sz="4" w:space="0" w:color="CCCCCC"/>
              <w:right w:val="single" w:sz="4" w:space="0" w:color="CCCCCC"/>
            </w:tcBorders>
            <w:tcW w:w="4819" w:type="dxa"/>
            <w:vAlign w:val="center"/>
          </w:tcPr>
          <w:p>
            <w:pPr>
              <w:jc w:val="left"/>
              <w:spacing w:before="40" w:after="40"/>
            </w:pPr>
            <w:r/>
            <w:r>
              <w:rPr>
                <w:rFonts w:ascii="Calibri" w:hAnsi="Calibri"/>
                <w:color w:val="1A1A2E"/>
                <w:sz w:val="18"/>
              </w:rPr>
              <w:t>Tax Rate</w:t>
            </w:r>
          </w:p>
        </w:tc>
        <w:tc>
          <w:tcPr>
            <w:tcW w:type="dxa" w:w="5040"/>
            <w:shd w:val="clear" w:color="auto" w:fill="FFFFFF"/>
            <w:tcBorders>
              <w:top w:val="single" w:sz="4" w:space="0" w:color="CCCCCC"/>
              <w:left w:val="single" w:sz="4" w:space="0" w:color="CCCCCC"/>
              <w:bottom w:val="single" w:sz="4" w:space="0" w:color="CCCCCC"/>
              <w:right w:val="single" w:sz="4" w:space="0" w:color="CCCCCC"/>
            </w:tcBorders>
            <w:tcW w:w="4536" w:type="dxa"/>
            <w:vAlign w:val="center"/>
          </w:tcPr>
          <w:p>
            <w:pPr>
              <w:jc w:val="left"/>
              <w:spacing w:before="40" w:after="40"/>
            </w:pPr>
            <w:r/>
            <w:r>
              <w:rPr>
                <w:rFonts w:ascii="Calibri" w:hAnsi="Calibri"/>
                <w:color w:val="1A1A2E"/>
                <w:sz w:val="18"/>
              </w:rPr>
              <w:t>15.1%</w:t>
            </w:r>
          </w:p>
        </w:tc>
      </w:tr>
      <w:tr>
        <w:tc>
          <w:tcPr>
            <w:tcW w:type="dxa" w:w="5040"/>
            <w:shd w:val="clear" w:color="auto" w:fill="F4F6F9"/>
            <w:tcBorders>
              <w:top w:val="single" w:sz="4" w:space="0" w:color="CCCCCC"/>
              <w:left w:val="single" w:sz="4" w:space="0" w:color="CCCCCC"/>
              <w:bottom w:val="single" w:sz="4" w:space="0" w:color="CCCCCC"/>
              <w:right w:val="single" w:sz="4" w:space="0" w:color="CCCCCC"/>
            </w:tcBorders>
            <w:tcW w:w="4819" w:type="dxa"/>
            <w:vAlign w:val="center"/>
          </w:tcPr>
          <w:p>
            <w:pPr>
              <w:jc w:val="left"/>
              <w:spacing w:before="40" w:after="40"/>
            </w:pPr>
            <w:r/>
            <w:r>
              <w:rPr>
                <w:rFonts w:ascii="Calibri" w:hAnsi="Calibri"/>
                <w:color w:val="1A1A2E"/>
                <w:sz w:val="18"/>
              </w:rPr>
              <w:t>Financial Data</w:t>
            </w:r>
          </w:p>
        </w:tc>
        <w:tc>
          <w:tcPr>
            <w:tcW w:type="dxa" w:w="5040"/>
            <w:shd w:val="clear" w:color="auto" w:fill="F4F6F9"/>
            <w:tcBorders>
              <w:top w:val="single" w:sz="4" w:space="0" w:color="CCCCCC"/>
              <w:left w:val="single" w:sz="4" w:space="0" w:color="CCCCCC"/>
              <w:bottom w:val="single" w:sz="4" w:space="0" w:color="CCCCCC"/>
              <w:right w:val="single" w:sz="4" w:space="0" w:color="CCCCCC"/>
            </w:tcBorders>
            <w:tcW w:w="4536" w:type="dxa"/>
            <w:vAlign w:val="center"/>
          </w:tcPr>
          <w:p>
            <w:pPr>
              <w:jc w:val="left"/>
              <w:spacing w:before="40" w:after="40"/>
            </w:pPr>
            <w:r/>
            <w:r>
              <w:rPr>
                <w:rFonts w:ascii="Calibri" w:hAnsi="Calibri"/>
                <w:color w:val="1A1A2E"/>
                <w:sz w:val="18"/>
              </w:rPr>
              <w:t>Company 10-K, FY2024</w:t>
            </w:r>
          </w:p>
        </w:tc>
      </w:tr>
      <w:tr>
        <w:tc>
          <w:tcPr>
            <w:tcW w:type="dxa" w:w="5040"/>
            <w:shd w:val="clear" w:color="auto" w:fill="FFFFFF"/>
            <w:tcBorders>
              <w:top w:val="single" w:sz="4" w:space="0" w:color="CCCCCC"/>
              <w:left w:val="single" w:sz="4" w:space="0" w:color="CCCCCC"/>
              <w:bottom w:val="single" w:sz="4" w:space="0" w:color="CCCCCC"/>
              <w:right w:val="single" w:sz="4" w:space="0" w:color="CCCCCC"/>
            </w:tcBorders>
            <w:tcW w:w="4819" w:type="dxa"/>
            <w:vAlign w:val="center"/>
          </w:tcPr>
          <w:p>
            <w:pPr>
              <w:jc w:val="left"/>
              <w:spacing w:before="40" w:after="40"/>
            </w:pPr>
            <w:r/>
            <w:r>
              <w:rPr>
                <w:rFonts w:ascii="Calibri" w:hAnsi="Calibri"/>
                <w:color w:val="1A1A2E"/>
                <w:sz w:val="18"/>
              </w:rPr>
              <w:t>Price Date</w:t>
            </w:r>
          </w:p>
        </w:tc>
        <w:tc>
          <w:tcPr>
            <w:tcW w:type="dxa" w:w="5040"/>
            <w:shd w:val="clear" w:color="auto" w:fill="FFFFFF"/>
            <w:tcBorders>
              <w:top w:val="single" w:sz="4" w:space="0" w:color="CCCCCC"/>
              <w:left w:val="single" w:sz="4" w:space="0" w:color="CCCCCC"/>
              <w:bottom w:val="single" w:sz="4" w:space="0" w:color="CCCCCC"/>
              <w:right w:val="single" w:sz="4" w:space="0" w:color="CCCCCC"/>
            </w:tcBorders>
            <w:tcW w:w="4536" w:type="dxa"/>
            <w:vAlign w:val="center"/>
          </w:tcPr>
          <w:p>
            <w:pPr>
              <w:jc w:val="left"/>
              <w:spacing w:before="40" w:after="40"/>
            </w:pPr>
            <w:r/>
            <w:r>
              <w:rPr>
                <w:rFonts w:ascii="Calibri" w:hAnsi="Calibri"/>
                <w:color w:val="1A1A2E"/>
                <w:sz w:val="18"/>
              </w:rPr>
              <w:t>July 11, 2026</w:t>
            </w:r>
          </w:p>
        </w:tc>
      </w:tr>
    </w:tbl>
    <w:p>
      <w:pPr>
        <w:spacing w:before="0" w:after="80"/>
      </w:pPr>
    </w:p>
    <w:p>
      <w:pPr>
        <w:pStyle w:val="Heading2"/>
        <w:jc w:val="left"/>
        <w:spacing w:before="120" w:after="60"/>
      </w:pPr>
      <w:r>
        <w:rPr>
          <w:rFonts w:ascii="Calibri" w:hAnsi="Calibri"/>
          <w:b/>
          <w:color w:val="1A5276"/>
          <w:sz w:val="26"/>
        </w:rPr>
        <w:t>Important Disclosures</w:t>
      </w:r>
    </w:p>
    <w:p>
      <w:pPr>
        <w:jc w:val="left"/>
        <w:spacing w:before="20" w:after="60" w:line="276" w:lineRule="auto"/>
      </w:pPr>
      <w:r>
        <w:rPr>
          <w:rFonts w:ascii="Calibri" w:hAnsi="Calibri"/>
          <w:i w:val="0"/>
          <w:color w:val="1A1A2E"/>
          <w:sz w:val="20"/>
        </w:rPr>
        <w:t>This report is produced by FaVeS Research for informational and educational purposes only. It does not constitute investment advice, a solicitation, or an offer to buy or sell any security. The analyst(s) responsible for this report certify that the views expressed accurately reflect their personal views about the subject company and its securities. FaVeS Research has no investment banking relationship with the covered company. Past performance is not indicative of future results. Investors should conduct their own due diligence before making investment decisions.</w:t>
      </w:r>
    </w:p>
    <w:p>
      <w:pPr>
        <w:spacing w:before="0" w:after="60"/>
      </w:pPr>
    </w:p>
    <w:p>
      <w:pPr>
        <w:jc w:val="left"/>
        <w:spacing w:before="20" w:after="60" w:line="276" w:lineRule="auto"/>
      </w:pPr>
      <w:r>
        <w:rPr>
          <w:rFonts w:ascii="Calibri" w:hAnsi="Calibri"/>
          <w:i/>
          <w:color w:val="6C757D"/>
          <w:sz w:val="18"/>
        </w:rPr>
        <w:t>Analyst: Aleks Arriola  ·  FaVeS Research  ·  aarriola@student.hult.edu  ·  July 11, 2026</w:t>
      </w:r>
    </w:p>
    <w:sectPr w:rsidR="00FC693F" w:rsidRPr="0006063C" w:rsidSect="00034616">
      <w:headerReference w:type="default" r:id="rId9"/>
      <w:footerReference w:type="default" r:id="rId10"/>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left"/>
      <w:tblLook w:firstColumn="1" w:firstRow="1" w:lastColumn="0" w:lastRow="0" w:noHBand="0" w:noVBand="1" w:val="04A0"/>
    </w:tblPr>
    <w:tblGrid>
      <w:gridCol w:w="4680"/>
      <w:gridCol w:w="4680"/>
    </w:tblGrid>
    <w:tr>
      <w:tc>
        <w:tcPr>
          <w:tcW w:type="dxa" w:w="4680"/>
          <w:tcBorders>
            <w:top w:val="none" w:sz="0" w:space="0" w:color="auto"/>
            <w:left w:val="none" w:sz="0" w:space="0" w:color="auto"/>
            <w:bottom w:val="none" w:sz="0" w:space="0" w:color="auto"/>
            <w:right w:val="none" w:sz="0" w:space="0" w:color="auto"/>
          </w:tcBorders>
        </w:tcPr>
        <w:p>
          <w:pPr>
            <w:spacing w:before="40" w:after="40"/>
          </w:pPr>
          <w:r>
            <w:rPr>
              <w:rFonts w:ascii="Calibri" w:hAnsi="Calibri"/>
              <w:color w:val="6C757D"/>
              <w:sz w:val="14"/>
            </w:rPr>
            <w:t>For informational purposes only. Not investment advice.</w:t>
          </w:r>
        </w:p>
      </w:tc>
      <w:tc>
        <w:tcPr>
          <w:tcW w:type="dxa" w:w="4680"/>
          <w:tcBorders>
            <w:top w:val="none" w:sz="0" w:space="0" w:color="auto"/>
            <w:left w:val="none" w:sz="0" w:space="0" w:color="auto"/>
            <w:bottom w:val="none" w:sz="0" w:space="0" w:color="auto"/>
            <w:right w:val="none" w:sz="0" w:space="0" w:color="auto"/>
          </w:tcBorders>
        </w:tcPr>
        <w:p>
          <w:pPr>
            <w:jc w:val="right"/>
            <w:spacing w:before="40" w:after="40"/>
          </w:pPr>
          <w:r>
            <w:rPr>
              <w:rFonts w:ascii="Calibri" w:hAnsi="Calibri"/>
              <w:color w:val="6C757D"/>
              <w:sz w:val="14"/>
            </w:rPr>
            <w:t xml:space="preserve">Page </w:t>
            <w:fldChar w:fldCharType="begin"/>
            <w:instrText>PAGE</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left"/>
      <w:tblLook w:firstColumn="1" w:firstRow="1" w:lastColumn="0" w:lastRow="0" w:noHBand="0" w:noVBand="1" w:val="04A0"/>
    </w:tblPr>
    <w:tblGrid>
      <w:gridCol w:w="4680"/>
      <w:gridCol w:w="4680"/>
    </w:tblGrid>
    <w:tr>
      <w:tc>
        <w:tcPr>
          <w:tcW w:type="dxa" w:w="4680"/>
          <w:shd w:val="clear" w:color="auto" w:fill="0D2B4E"/>
          <w:tcBorders>
            <w:top w:val="none" w:sz="0" w:space="0" w:color="auto"/>
            <w:left w:val="none" w:sz="0" w:space="0" w:color="auto"/>
            <w:bottom w:val="none" w:sz="0" w:space="0" w:color="auto"/>
            <w:right w:val="none" w:sz="0" w:space="0" w:color="auto"/>
          </w:tcBorders>
        </w:tcPr>
        <w:p>
          <w:pPr>
            <w:spacing w:before="40" w:after="40"/>
          </w:pPr>
          <w:r>
            <w:rPr>
              <w:rFonts w:ascii="Calibri" w:hAnsi="Calibri"/>
              <w:color w:val="FFFFFF"/>
              <w:sz w:val="16"/>
            </w:rPr>
            <w:t>FaVeS Research  ·  Apple Inc. (AAPL)  ·  Equity Research</w:t>
          </w:r>
        </w:p>
      </w:tc>
      <w:tc>
        <w:tcPr>
          <w:tcW w:type="dxa" w:w="4680"/>
          <w:shd w:val="clear" w:color="auto" w:fill="0D2B4E"/>
          <w:tcBorders>
            <w:top w:val="none" w:sz="0" w:space="0" w:color="auto"/>
            <w:left w:val="none" w:sz="0" w:space="0" w:color="auto"/>
            <w:bottom w:val="none" w:sz="0" w:space="0" w:color="auto"/>
            <w:right w:val="none" w:sz="0" w:space="0" w:color="auto"/>
          </w:tcBorders>
        </w:tcPr>
        <w:p>
          <w:pPr>
            <w:jc w:val="right"/>
            <w:spacing w:before="40" w:after="40"/>
          </w:pPr>
          <w:r>
            <w:rPr>
              <w:rFonts w:ascii="Calibri" w:hAnsi="Calibri"/>
              <w:b/>
              <w:color w:val="C4973A"/>
              <w:sz w:val="16"/>
            </w:rPr>
            <w:t>HOLD  (+2% vs. base target)  ·  PT USD 217.98</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